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36B0" w:rsidRDefault="00BB36B0" w:rsidP="00BB36B0">
      <w:pPr>
        <w:rPr>
          <w:szCs w:val="22"/>
        </w:rPr>
      </w:pPr>
      <w:r w:rsidRPr="003819B0">
        <w:rPr>
          <w:b/>
          <w:sz w:val="18"/>
          <w:szCs w:val="18"/>
        </w:rPr>
        <w:t>2019-</w:t>
      </w:r>
      <w:r>
        <w:rPr>
          <w:b/>
          <w:sz w:val="18"/>
          <w:szCs w:val="18"/>
        </w:rPr>
        <w:t>10-2</w:t>
      </w:r>
      <w:r>
        <w:rPr>
          <w:b/>
          <w:sz w:val="18"/>
          <w:szCs w:val="18"/>
        </w:rPr>
        <w:t>9final</w:t>
      </w:r>
      <w:bookmarkStart w:id="0" w:name="_GoBack"/>
      <w:bookmarkEnd w:id="0"/>
      <w:r w:rsidRPr="003819B0">
        <w:rPr>
          <w:b/>
          <w:sz w:val="18"/>
          <w:szCs w:val="18"/>
        </w:rPr>
        <w:tab/>
      </w:r>
      <w:r w:rsidRPr="003819B0">
        <w:rPr>
          <w:b/>
          <w:sz w:val="18"/>
          <w:szCs w:val="18"/>
        </w:rPr>
        <w:tab/>
      </w:r>
      <w:r w:rsidRPr="003819B0">
        <w:rPr>
          <w:b/>
          <w:sz w:val="18"/>
          <w:szCs w:val="18"/>
        </w:rPr>
        <w:tab/>
      </w:r>
      <w:r w:rsidRPr="003819B0">
        <w:rPr>
          <w:b/>
          <w:sz w:val="18"/>
          <w:szCs w:val="18"/>
        </w:rPr>
        <w:tab/>
      </w:r>
    </w:p>
    <w:p w:rsidR="00BB36B0" w:rsidRPr="003A2318" w:rsidRDefault="00BB36B0" w:rsidP="00BB36B0">
      <w:pPr>
        <w:ind w:left="2608" w:firstLine="1304"/>
        <w:rPr>
          <w:b/>
          <w:szCs w:val="22"/>
        </w:rPr>
      </w:pPr>
      <w:r w:rsidRPr="003A2318">
        <w:rPr>
          <w:b/>
          <w:szCs w:val="22"/>
        </w:rPr>
        <w:t>Utbildningsdepartementet</w:t>
      </w:r>
    </w:p>
    <w:p w:rsidR="00BB36B0" w:rsidRPr="000A41F3" w:rsidRDefault="00BB36B0" w:rsidP="00BB36B0">
      <w:pPr>
        <w:rPr>
          <w:b/>
          <w:szCs w:val="22"/>
        </w:rPr>
      </w:pPr>
      <w:r w:rsidRPr="003A2318">
        <w:rPr>
          <w:b/>
          <w:szCs w:val="22"/>
        </w:rPr>
        <w:tab/>
      </w:r>
      <w:r w:rsidRPr="003A2318">
        <w:rPr>
          <w:b/>
          <w:szCs w:val="22"/>
        </w:rPr>
        <w:tab/>
      </w:r>
      <w:r w:rsidRPr="003A2318">
        <w:rPr>
          <w:b/>
          <w:szCs w:val="22"/>
        </w:rPr>
        <w:tab/>
        <w:t>133 00 STOCKHOLM</w:t>
      </w:r>
    </w:p>
    <w:p w:rsidR="00BB36B0" w:rsidRDefault="00BB36B0" w:rsidP="00BB36B0">
      <w:pPr>
        <w:ind w:left="2608" w:firstLine="1304"/>
        <w:rPr>
          <w:b/>
          <w:sz w:val="24"/>
        </w:rPr>
      </w:pPr>
      <w:hyperlink r:id="rId7" w:history="1">
        <w:r w:rsidRPr="003A2318">
          <w:rPr>
            <w:rStyle w:val="Hyperlnk"/>
            <w:rFonts w:eastAsiaTheme="minorHAnsi" w:cs="Times New Roman"/>
            <w:szCs w:val="22"/>
            <w:lang w:eastAsia="en-US"/>
          </w:rPr>
          <w:t>u.registrator@regeringskansliet.se</w:t>
        </w:r>
      </w:hyperlink>
      <w:r>
        <w:rPr>
          <w:rFonts w:ascii="Times New Roman" w:eastAsiaTheme="minorHAnsi" w:hAnsi="Times New Roman" w:cs="Times New Roman"/>
          <w:color w:val="000000"/>
          <w:sz w:val="25"/>
          <w:szCs w:val="25"/>
          <w:lang w:eastAsia="en-US"/>
        </w:rPr>
        <w:t xml:space="preserve"> </w:t>
      </w:r>
    </w:p>
    <w:p w:rsidR="00BB36B0" w:rsidRPr="003A2318" w:rsidRDefault="00BB36B0" w:rsidP="00BB36B0">
      <w:pPr>
        <w:rPr>
          <w:b/>
          <w:sz w:val="24"/>
        </w:rPr>
      </w:pPr>
      <w:r w:rsidRPr="003A2318">
        <w:rPr>
          <w:b/>
          <w:sz w:val="24"/>
        </w:rPr>
        <w:t xml:space="preserve">ÄRENDE: </w:t>
      </w:r>
    </w:p>
    <w:p w:rsidR="00BB36B0" w:rsidRPr="003A2318" w:rsidRDefault="00BB36B0" w:rsidP="00BB36B0">
      <w:pPr>
        <w:rPr>
          <w:b/>
          <w:sz w:val="20"/>
          <w:szCs w:val="20"/>
        </w:rPr>
      </w:pPr>
      <w:r w:rsidRPr="003A2318">
        <w:rPr>
          <w:b/>
          <w:sz w:val="20"/>
          <w:szCs w:val="20"/>
        </w:rPr>
        <w:t>Underlag till Forsknings- och innovationspropositionen 2020 samt nytt uppdrag till Vinnova och PRV</w:t>
      </w:r>
    </w:p>
    <w:p w:rsidR="00BB36B0" w:rsidRPr="003A2318" w:rsidRDefault="00BB36B0" w:rsidP="00BB36B0">
      <w:pPr>
        <w:rPr>
          <w:bCs/>
          <w:sz w:val="20"/>
          <w:szCs w:val="20"/>
        </w:rPr>
      </w:pPr>
    </w:p>
    <w:p w:rsidR="00BB36B0" w:rsidRPr="003A2318" w:rsidRDefault="00BB36B0" w:rsidP="00BB36B0">
      <w:pPr>
        <w:rPr>
          <w:bCs/>
          <w:sz w:val="20"/>
          <w:szCs w:val="20"/>
        </w:rPr>
      </w:pPr>
      <w:r w:rsidRPr="003A2318">
        <w:rPr>
          <w:bCs/>
          <w:sz w:val="20"/>
          <w:szCs w:val="20"/>
        </w:rPr>
        <w:t xml:space="preserve">Inför att regeringen skall </w:t>
      </w:r>
      <w:r>
        <w:rPr>
          <w:bCs/>
          <w:sz w:val="20"/>
          <w:szCs w:val="20"/>
        </w:rPr>
        <w:t>lägga fram</w:t>
      </w:r>
      <w:r w:rsidRPr="003A2318">
        <w:rPr>
          <w:bCs/>
          <w:sz w:val="20"/>
          <w:szCs w:val="20"/>
        </w:rPr>
        <w:t xml:space="preserve"> en Forsknings-och innovationsproposition 2020 har omvärlden erbjudits att presentera förslag. </w:t>
      </w:r>
      <w:r w:rsidRPr="003A2318">
        <w:rPr>
          <w:sz w:val="20"/>
          <w:szCs w:val="20"/>
        </w:rPr>
        <w:t xml:space="preserve">Denna presentation fokuserar på patent som immateriell värdskapare. </w:t>
      </w:r>
    </w:p>
    <w:p w:rsidR="00BB36B0" w:rsidRPr="003A2318" w:rsidRDefault="00BB36B0" w:rsidP="00BB36B0">
      <w:pPr>
        <w:rPr>
          <w:sz w:val="20"/>
          <w:szCs w:val="20"/>
        </w:rPr>
      </w:pPr>
    </w:p>
    <w:p w:rsidR="00BB36B0" w:rsidRPr="003A2318" w:rsidRDefault="00BB36B0" w:rsidP="00BB36B0">
      <w:pPr>
        <w:rPr>
          <w:sz w:val="20"/>
          <w:szCs w:val="20"/>
        </w:rPr>
      </w:pPr>
      <w:r w:rsidRPr="003A2318">
        <w:rPr>
          <w:sz w:val="20"/>
          <w:szCs w:val="20"/>
        </w:rPr>
        <w:t xml:space="preserve">Regeringens uppdrog 2016 till Vinnova och PRV att genomföra insatser för kunskapsutveckling och förbättrat offentligt stöd för hantering av immateriella tillgångar, (N2016/02167/IF). Detta innefattar information, forskning och stöd till företag för utveckling av strategier för immateriellt värdeskapande. Uppdraget skall rapporteras 2020-03-15. </w:t>
      </w:r>
    </w:p>
    <w:p w:rsidR="00BB36B0" w:rsidRPr="003A2318" w:rsidRDefault="00BB36B0" w:rsidP="00BB36B0">
      <w:pPr>
        <w:rPr>
          <w:bCs/>
          <w:sz w:val="20"/>
          <w:szCs w:val="20"/>
        </w:rPr>
      </w:pPr>
    </w:p>
    <w:p w:rsidR="00BB36B0" w:rsidRPr="003A2318" w:rsidRDefault="00BB36B0" w:rsidP="00BB36B0">
      <w:pPr>
        <w:rPr>
          <w:rFonts w:eastAsia="Times New Roman" w:cs="Times New Roman"/>
          <w:color w:val="000000"/>
          <w:sz w:val="20"/>
          <w:szCs w:val="20"/>
        </w:rPr>
      </w:pPr>
      <w:r w:rsidRPr="003A2318">
        <w:rPr>
          <w:sz w:val="20"/>
          <w:szCs w:val="20"/>
        </w:rPr>
        <w:t xml:space="preserve">Med denna skrivelse vill vi dels understryka vikten av det fortsatta arbetet inom området - patent som immateriell värdskapare dels föreslå åtgärder för att ytterligare utveckla nyttan av ett nytt regeringsuppdrag.  </w:t>
      </w:r>
      <w:r w:rsidRPr="003A2318">
        <w:rPr>
          <w:rFonts w:eastAsia="Times New Roman" w:cs="Times New Roman"/>
          <w:color w:val="000000"/>
          <w:sz w:val="20"/>
          <w:szCs w:val="20"/>
        </w:rPr>
        <w:t xml:space="preserve">Vi presenterar här förslag angående uppdragets organisation och om forskningens inriktning. Rapportfloden från organisationer såsom WIPO, EPO, OECD, europeiska kommissionen och andra har det senaste året varit omfattande. Dessa har vi beaktat i denna skrivelse. </w:t>
      </w:r>
    </w:p>
    <w:p w:rsidR="00BB36B0" w:rsidRPr="003A2318" w:rsidRDefault="00BB36B0" w:rsidP="00BB36B0">
      <w:pPr>
        <w:spacing w:before="100" w:beforeAutospacing="1" w:after="100" w:afterAutospacing="1"/>
        <w:rPr>
          <w:rFonts w:eastAsia="Times New Roman" w:cs="Times New Roman"/>
          <w:color w:val="000000"/>
          <w:sz w:val="20"/>
          <w:szCs w:val="20"/>
        </w:rPr>
      </w:pPr>
      <w:r>
        <w:rPr>
          <w:rFonts w:eastAsia="Times New Roman" w:cs="Times New Roman"/>
          <w:b/>
          <w:bCs/>
          <w:color w:val="000000"/>
          <w:sz w:val="20"/>
          <w:szCs w:val="20"/>
        </w:rPr>
        <w:t>Vid sidan av patentfrågor föreslår vi två ö</w:t>
      </w:r>
      <w:r w:rsidRPr="003A2318">
        <w:rPr>
          <w:rFonts w:eastAsia="Times New Roman" w:cs="Times New Roman"/>
          <w:b/>
          <w:bCs/>
          <w:color w:val="000000"/>
          <w:sz w:val="20"/>
          <w:szCs w:val="20"/>
        </w:rPr>
        <w:t>vriga frågor</w:t>
      </w:r>
      <w:r>
        <w:rPr>
          <w:rFonts w:eastAsia="Times New Roman" w:cs="Times New Roman"/>
          <w:b/>
          <w:bCs/>
          <w:color w:val="000000"/>
          <w:sz w:val="20"/>
          <w:szCs w:val="20"/>
        </w:rPr>
        <w:t xml:space="preserve"> </w:t>
      </w:r>
      <w:r w:rsidRPr="003A2318">
        <w:rPr>
          <w:rFonts w:eastAsia="Times New Roman" w:cs="Times New Roman"/>
          <w:b/>
          <w:bCs/>
          <w:color w:val="000000"/>
          <w:sz w:val="20"/>
          <w:szCs w:val="20"/>
        </w:rPr>
        <w:t>som</w:t>
      </w:r>
      <w:r>
        <w:rPr>
          <w:rFonts w:eastAsia="Times New Roman" w:cs="Times New Roman"/>
          <w:b/>
          <w:bCs/>
          <w:color w:val="000000"/>
          <w:sz w:val="20"/>
          <w:szCs w:val="20"/>
        </w:rPr>
        <w:t>,</w:t>
      </w:r>
      <w:r w:rsidRPr="003A2318">
        <w:rPr>
          <w:rFonts w:eastAsia="Times New Roman" w:cs="Times New Roman"/>
          <w:b/>
          <w:bCs/>
          <w:color w:val="000000"/>
          <w:sz w:val="20"/>
          <w:szCs w:val="20"/>
        </w:rPr>
        <w:t xml:space="preserve"> p</w:t>
      </w:r>
      <w:r>
        <w:rPr>
          <w:rFonts w:eastAsia="Times New Roman" w:cs="Times New Roman"/>
          <w:b/>
          <w:bCs/>
          <w:color w:val="000000"/>
          <w:sz w:val="20"/>
          <w:szCs w:val="20"/>
        </w:rPr>
        <w:t>.</w:t>
      </w:r>
      <w:r w:rsidRPr="003A2318">
        <w:rPr>
          <w:rFonts w:eastAsia="Times New Roman" w:cs="Times New Roman"/>
          <w:b/>
          <w:bCs/>
          <w:color w:val="000000"/>
          <w:sz w:val="20"/>
          <w:szCs w:val="20"/>
        </w:rPr>
        <w:t>g</w:t>
      </w:r>
      <w:r>
        <w:rPr>
          <w:rFonts w:eastAsia="Times New Roman" w:cs="Times New Roman"/>
          <w:b/>
          <w:bCs/>
          <w:color w:val="000000"/>
          <w:sz w:val="20"/>
          <w:szCs w:val="20"/>
        </w:rPr>
        <w:t>.</w:t>
      </w:r>
      <w:r w:rsidRPr="003A2318">
        <w:rPr>
          <w:rFonts w:eastAsia="Times New Roman" w:cs="Times New Roman"/>
          <w:b/>
          <w:bCs/>
          <w:color w:val="000000"/>
          <w:sz w:val="20"/>
          <w:szCs w:val="20"/>
        </w:rPr>
        <w:t>a</w:t>
      </w:r>
      <w:r>
        <w:rPr>
          <w:rFonts w:eastAsia="Times New Roman" w:cs="Times New Roman"/>
          <w:b/>
          <w:bCs/>
          <w:color w:val="000000"/>
          <w:sz w:val="20"/>
          <w:szCs w:val="20"/>
        </w:rPr>
        <w:t>.</w:t>
      </w:r>
      <w:r w:rsidRPr="003A2318">
        <w:rPr>
          <w:rFonts w:eastAsia="Times New Roman" w:cs="Times New Roman"/>
          <w:b/>
          <w:bCs/>
          <w:color w:val="000000"/>
          <w:sz w:val="20"/>
          <w:szCs w:val="20"/>
        </w:rPr>
        <w:t xml:space="preserve"> av ofullständiga regelverk</w:t>
      </w:r>
      <w:r>
        <w:rPr>
          <w:rFonts w:eastAsia="Times New Roman" w:cs="Times New Roman"/>
          <w:b/>
          <w:bCs/>
          <w:color w:val="000000"/>
          <w:sz w:val="20"/>
          <w:szCs w:val="20"/>
        </w:rPr>
        <w:t>,</w:t>
      </w:r>
      <w:r w:rsidRPr="003A2318">
        <w:rPr>
          <w:rFonts w:eastAsia="Times New Roman" w:cs="Times New Roman"/>
          <w:b/>
          <w:bCs/>
          <w:color w:val="000000"/>
          <w:sz w:val="20"/>
          <w:szCs w:val="20"/>
        </w:rPr>
        <w:t xml:space="preserve"> inte </w:t>
      </w:r>
      <w:r>
        <w:rPr>
          <w:rFonts w:eastAsia="Times New Roman" w:cs="Times New Roman"/>
          <w:b/>
          <w:bCs/>
          <w:color w:val="000000"/>
          <w:sz w:val="20"/>
          <w:szCs w:val="20"/>
        </w:rPr>
        <w:t xml:space="preserve">har </w:t>
      </w:r>
      <w:r w:rsidRPr="003A2318">
        <w:rPr>
          <w:rFonts w:eastAsia="Times New Roman" w:cs="Times New Roman"/>
          <w:b/>
          <w:bCs/>
          <w:color w:val="000000"/>
          <w:sz w:val="20"/>
          <w:szCs w:val="20"/>
        </w:rPr>
        <w:t>givit </w:t>
      </w:r>
      <w:r>
        <w:rPr>
          <w:rFonts w:eastAsia="Times New Roman" w:cs="Times New Roman"/>
          <w:b/>
          <w:bCs/>
          <w:color w:val="000000"/>
          <w:sz w:val="20"/>
          <w:szCs w:val="20"/>
        </w:rPr>
        <w:t>önskvärda</w:t>
      </w:r>
      <w:r w:rsidRPr="003A2318">
        <w:rPr>
          <w:rFonts w:eastAsia="Times New Roman" w:cs="Times New Roman"/>
          <w:b/>
          <w:bCs/>
          <w:color w:val="000000"/>
          <w:sz w:val="20"/>
          <w:szCs w:val="20"/>
        </w:rPr>
        <w:t xml:space="preserve"> Innovationspolitiska förbättringar</w:t>
      </w:r>
    </w:p>
    <w:p w:rsidR="00BB36B0" w:rsidRPr="003A2318" w:rsidRDefault="00BB36B0" w:rsidP="00BB36B0">
      <w:pPr>
        <w:spacing w:before="100" w:beforeAutospacing="1" w:after="100" w:afterAutospacing="1"/>
        <w:ind w:left="1304"/>
        <w:rPr>
          <w:rFonts w:eastAsia="Times New Roman" w:cs="Times New Roman"/>
          <w:color w:val="000000"/>
          <w:sz w:val="20"/>
          <w:szCs w:val="20"/>
        </w:rPr>
      </w:pPr>
      <w:r w:rsidRPr="003A2318">
        <w:rPr>
          <w:rFonts w:eastAsia="Times New Roman" w:cs="Times New Roman"/>
          <w:b/>
          <w:bCs/>
          <w:color w:val="000000"/>
          <w:sz w:val="20"/>
          <w:szCs w:val="20"/>
        </w:rPr>
        <w:t>Investeraravdraget </w:t>
      </w:r>
      <w:r w:rsidRPr="003A2318">
        <w:rPr>
          <w:rFonts w:eastAsia="Times New Roman" w:cs="Times New Roman"/>
          <w:color w:val="000000"/>
          <w:sz w:val="20"/>
          <w:szCs w:val="20"/>
        </w:rPr>
        <w:t>som</w:t>
      </w:r>
      <w:r>
        <w:rPr>
          <w:rFonts w:eastAsia="Times New Roman" w:cs="Times New Roman"/>
          <w:color w:val="000000"/>
          <w:sz w:val="20"/>
          <w:szCs w:val="20"/>
        </w:rPr>
        <w:t xml:space="preserve"> är</w:t>
      </w:r>
      <w:r w:rsidRPr="003A2318">
        <w:rPr>
          <w:rFonts w:eastAsia="Times New Roman" w:cs="Times New Roman"/>
          <w:color w:val="000000"/>
          <w:sz w:val="20"/>
          <w:szCs w:val="20"/>
        </w:rPr>
        <w:t xml:space="preserve"> bas</w:t>
      </w:r>
      <w:r>
        <w:rPr>
          <w:rFonts w:eastAsia="Times New Roman" w:cs="Times New Roman"/>
          <w:color w:val="000000"/>
          <w:sz w:val="20"/>
          <w:szCs w:val="20"/>
        </w:rPr>
        <w:t>erat</w:t>
      </w:r>
      <w:r w:rsidRPr="003A2318">
        <w:rPr>
          <w:rFonts w:eastAsia="Times New Roman" w:cs="Times New Roman"/>
          <w:color w:val="000000"/>
          <w:sz w:val="20"/>
          <w:szCs w:val="20"/>
        </w:rPr>
        <w:t xml:space="preserve"> på det brittiska </w:t>
      </w:r>
      <w:r w:rsidRPr="003A2318">
        <w:rPr>
          <w:rFonts w:eastAsia="Times New Roman" w:cs="Times New Roman"/>
          <w:i/>
          <w:iCs/>
          <w:color w:val="0B0C0C"/>
          <w:sz w:val="20"/>
          <w:szCs w:val="20"/>
        </w:rPr>
        <w:t xml:space="preserve">Enterprise Investment </w:t>
      </w:r>
      <w:proofErr w:type="spellStart"/>
      <w:r w:rsidRPr="003A2318">
        <w:rPr>
          <w:rFonts w:eastAsia="Times New Roman" w:cs="Times New Roman"/>
          <w:i/>
          <w:iCs/>
          <w:color w:val="0B0C0C"/>
          <w:sz w:val="20"/>
          <w:szCs w:val="20"/>
        </w:rPr>
        <w:t>Scheme</w:t>
      </w:r>
      <w:proofErr w:type="spellEnd"/>
      <w:r w:rsidRPr="003A2318">
        <w:rPr>
          <w:rFonts w:eastAsia="Times New Roman" w:cs="Times New Roman"/>
          <w:color w:val="0B0C0C"/>
          <w:sz w:val="20"/>
          <w:szCs w:val="20"/>
        </w:rPr>
        <w:t xml:space="preserve"> (EIS). Det svenska systemet ger investera i nystartade företag </w:t>
      </w:r>
      <w:r>
        <w:rPr>
          <w:rFonts w:eastAsia="Times New Roman" w:cs="Times New Roman"/>
          <w:color w:val="0B0C0C"/>
          <w:sz w:val="20"/>
          <w:szCs w:val="20"/>
        </w:rPr>
        <w:t>ett</w:t>
      </w:r>
      <w:r w:rsidRPr="003A2318">
        <w:rPr>
          <w:rFonts w:eastAsia="Times New Roman" w:cs="Times New Roman"/>
          <w:color w:val="0B0C0C"/>
          <w:sz w:val="20"/>
          <w:szCs w:val="20"/>
        </w:rPr>
        <w:t xml:space="preserve"> skatteavdrag, som motsvarar 15 </w:t>
      </w:r>
      <w:r>
        <w:rPr>
          <w:rFonts w:eastAsia="Times New Roman" w:cs="Times New Roman"/>
          <w:color w:val="0B0C0C"/>
          <w:sz w:val="20"/>
          <w:szCs w:val="20"/>
        </w:rPr>
        <w:t xml:space="preserve">% </w:t>
      </w:r>
      <w:r w:rsidRPr="003A2318">
        <w:rPr>
          <w:rFonts w:eastAsia="Times New Roman" w:cs="Times New Roman"/>
          <w:color w:val="0B0C0C"/>
          <w:sz w:val="20"/>
          <w:szCs w:val="20"/>
        </w:rPr>
        <w:t xml:space="preserve">av investeringen. </w:t>
      </w:r>
      <w:r>
        <w:rPr>
          <w:rFonts w:eastAsia="Times New Roman" w:cs="Times New Roman"/>
          <w:color w:val="0B0C0C"/>
          <w:sz w:val="20"/>
          <w:szCs w:val="20"/>
        </w:rPr>
        <w:t xml:space="preserve">Under </w:t>
      </w:r>
      <w:r w:rsidRPr="003A2318">
        <w:rPr>
          <w:rFonts w:eastAsia="Times New Roman" w:cs="Times New Roman"/>
          <w:color w:val="0B0C0C"/>
          <w:sz w:val="20"/>
          <w:szCs w:val="20"/>
        </w:rPr>
        <w:t xml:space="preserve">2018 </w:t>
      </w:r>
      <w:r>
        <w:rPr>
          <w:rFonts w:eastAsia="Times New Roman" w:cs="Times New Roman"/>
          <w:color w:val="0B0C0C"/>
          <w:sz w:val="20"/>
          <w:szCs w:val="20"/>
        </w:rPr>
        <w:t>utnyttjades</w:t>
      </w:r>
      <w:r w:rsidRPr="003A2318">
        <w:rPr>
          <w:rFonts w:eastAsia="Times New Roman" w:cs="Times New Roman"/>
          <w:color w:val="0B0C0C"/>
          <w:sz w:val="20"/>
          <w:szCs w:val="20"/>
        </w:rPr>
        <w:t> enbart 53 miljoner kronor i detta avdrag. Det är en synnerligen låg siffra,</w:t>
      </w:r>
      <w:r>
        <w:rPr>
          <w:rFonts w:eastAsia="Times New Roman" w:cs="Times New Roman"/>
          <w:color w:val="0B0C0C"/>
          <w:sz w:val="20"/>
          <w:szCs w:val="20"/>
        </w:rPr>
        <w:t xml:space="preserve"> då</w:t>
      </w:r>
      <w:r w:rsidRPr="003A2318">
        <w:rPr>
          <w:rFonts w:eastAsia="Times New Roman" w:cs="Times New Roman"/>
          <w:color w:val="0B0C0C"/>
          <w:sz w:val="20"/>
          <w:szCs w:val="20"/>
        </w:rPr>
        <w:t xml:space="preserve"> behovet av investerar</w:t>
      </w:r>
      <w:r>
        <w:rPr>
          <w:rFonts w:eastAsia="Times New Roman" w:cs="Times New Roman"/>
          <w:color w:val="0B0C0C"/>
          <w:sz w:val="20"/>
          <w:szCs w:val="20"/>
        </w:rPr>
        <w:t>e</w:t>
      </w:r>
      <w:r w:rsidRPr="003A2318">
        <w:rPr>
          <w:rFonts w:eastAsia="Times New Roman" w:cs="Times New Roman"/>
          <w:color w:val="0B0C0C"/>
          <w:sz w:val="20"/>
          <w:szCs w:val="20"/>
        </w:rPr>
        <w:t xml:space="preserve"> i nystartade projekt är mycket stort. En jämförelse mellan det brittiska och svenska systemet visar tydligt hur </w:t>
      </w:r>
      <w:r>
        <w:rPr>
          <w:rFonts w:eastAsia="Times New Roman" w:cs="Times New Roman"/>
          <w:color w:val="0B0C0C"/>
          <w:sz w:val="20"/>
          <w:szCs w:val="20"/>
        </w:rPr>
        <w:t xml:space="preserve">administrativt </w:t>
      </w:r>
      <w:r w:rsidRPr="003A2318">
        <w:rPr>
          <w:rFonts w:eastAsia="Times New Roman" w:cs="Times New Roman"/>
          <w:color w:val="0B0C0C"/>
          <w:sz w:val="20"/>
          <w:szCs w:val="20"/>
        </w:rPr>
        <w:t>tungrott det svenska system</w:t>
      </w:r>
      <w:r>
        <w:rPr>
          <w:rFonts w:eastAsia="Times New Roman" w:cs="Times New Roman"/>
          <w:color w:val="0B0C0C"/>
          <w:sz w:val="20"/>
          <w:szCs w:val="20"/>
        </w:rPr>
        <w:t>et</w:t>
      </w:r>
      <w:r w:rsidRPr="003A2318">
        <w:rPr>
          <w:rFonts w:eastAsia="Times New Roman" w:cs="Times New Roman"/>
          <w:color w:val="0B0C0C"/>
          <w:sz w:val="20"/>
          <w:szCs w:val="20"/>
        </w:rPr>
        <w:t xml:space="preserve"> </w:t>
      </w:r>
      <w:r>
        <w:rPr>
          <w:rFonts w:eastAsia="Times New Roman" w:cs="Times New Roman"/>
          <w:color w:val="0B0C0C"/>
          <w:sz w:val="20"/>
          <w:szCs w:val="20"/>
        </w:rPr>
        <w:t xml:space="preserve">har </w:t>
      </w:r>
      <w:r w:rsidRPr="003A2318">
        <w:rPr>
          <w:rFonts w:eastAsia="Times New Roman" w:cs="Times New Roman"/>
          <w:color w:val="0B0C0C"/>
          <w:sz w:val="20"/>
          <w:szCs w:val="20"/>
        </w:rPr>
        <w:t xml:space="preserve">blivit. </w:t>
      </w:r>
      <w:r>
        <w:rPr>
          <w:rFonts w:eastAsia="Times New Roman" w:cs="Times New Roman"/>
          <w:color w:val="0B0C0C"/>
          <w:sz w:val="20"/>
          <w:szCs w:val="20"/>
        </w:rPr>
        <w:t>D</w:t>
      </w:r>
      <w:r w:rsidRPr="003A2318">
        <w:rPr>
          <w:rFonts w:eastAsia="Times New Roman" w:cs="Times New Roman"/>
          <w:color w:val="0B0C0C"/>
          <w:sz w:val="20"/>
          <w:szCs w:val="20"/>
        </w:rPr>
        <w:t>et betyder att </w:t>
      </w:r>
      <w:r>
        <w:rPr>
          <w:rFonts w:eastAsia="Times New Roman" w:cs="Times New Roman"/>
          <w:color w:val="0B0C0C"/>
          <w:sz w:val="20"/>
          <w:szCs w:val="20"/>
        </w:rPr>
        <w:t xml:space="preserve">avdragets </w:t>
      </w:r>
      <w:r w:rsidRPr="003A2318">
        <w:rPr>
          <w:rFonts w:eastAsia="Times New Roman" w:cs="Times New Roman"/>
          <w:color w:val="0B0C0C"/>
          <w:sz w:val="20"/>
          <w:szCs w:val="20"/>
        </w:rPr>
        <w:t>effekter är lågt.</w:t>
      </w:r>
    </w:p>
    <w:p w:rsidR="00BB36B0" w:rsidRDefault="00BB36B0" w:rsidP="00BB36B0">
      <w:pPr>
        <w:ind w:left="1304"/>
        <w:rPr>
          <w:rFonts w:eastAsia="Times New Roman" w:cs="Times New Roman"/>
          <w:color w:val="000000"/>
          <w:sz w:val="20"/>
          <w:szCs w:val="20"/>
        </w:rPr>
      </w:pPr>
      <w:r w:rsidRPr="003A2318">
        <w:rPr>
          <w:rFonts w:eastAsia="Times New Roman" w:cs="Times New Roman"/>
          <w:b/>
          <w:bCs/>
          <w:color w:val="000000"/>
          <w:sz w:val="20"/>
          <w:szCs w:val="20"/>
        </w:rPr>
        <w:t>Beskattning av personaloptioner</w:t>
      </w:r>
      <w:r w:rsidRPr="003A2318">
        <w:rPr>
          <w:rFonts w:eastAsia="Times New Roman" w:cs="Times New Roman"/>
          <w:color w:val="000000"/>
          <w:sz w:val="20"/>
          <w:szCs w:val="20"/>
        </w:rPr>
        <w:t> i nystartade företag skulle stimulera dessa att attrahera</w:t>
      </w:r>
      <w:r>
        <w:rPr>
          <w:rFonts w:eastAsia="Times New Roman" w:cs="Times New Roman"/>
          <w:color w:val="000000"/>
          <w:sz w:val="20"/>
          <w:szCs w:val="20"/>
        </w:rPr>
        <w:t xml:space="preserve"> och behålla kompetent </w:t>
      </w:r>
      <w:r w:rsidRPr="003A2318">
        <w:rPr>
          <w:rFonts w:eastAsia="Times New Roman" w:cs="Times New Roman"/>
          <w:color w:val="000000"/>
          <w:sz w:val="20"/>
          <w:szCs w:val="20"/>
        </w:rPr>
        <w:t xml:space="preserve">personal. </w:t>
      </w:r>
      <w:proofErr w:type="spellStart"/>
      <w:r w:rsidRPr="003A2318">
        <w:rPr>
          <w:rFonts w:eastAsia="Times New Roman" w:cs="Times New Roman"/>
          <w:color w:val="000000"/>
          <w:sz w:val="20"/>
          <w:szCs w:val="20"/>
        </w:rPr>
        <w:t>Pga</w:t>
      </w:r>
      <w:proofErr w:type="spellEnd"/>
      <w:r w:rsidRPr="003A2318">
        <w:rPr>
          <w:rFonts w:eastAsia="Times New Roman" w:cs="Times New Roman"/>
          <w:color w:val="000000"/>
          <w:sz w:val="20"/>
          <w:szCs w:val="20"/>
        </w:rPr>
        <w:t xml:space="preserve"> av otydligheter i </w:t>
      </w:r>
      <w:r>
        <w:rPr>
          <w:rFonts w:eastAsia="Times New Roman" w:cs="Times New Roman"/>
          <w:color w:val="000000"/>
          <w:sz w:val="20"/>
          <w:szCs w:val="20"/>
        </w:rPr>
        <w:t xml:space="preserve">det nyligen införda </w:t>
      </w:r>
      <w:r w:rsidRPr="003A2318">
        <w:rPr>
          <w:rFonts w:eastAsia="Times New Roman" w:cs="Times New Roman"/>
          <w:color w:val="000000"/>
          <w:sz w:val="20"/>
          <w:szCs w:val="20"/>
        </w:rPr>
        <w:t xml:space="preserve">regelverket utnyttjas </w:t>
      </w:r>
      <w:r>
        <w:rPr>
          <w:rFonts w:eastAsia="Times New Roman" w:cs="Times New Roman"/>
          <w:color w:val="000000"/>
          <w:sz w:val="20"/>
          <w:szCs w:val="20"/>
        </w:rPr>
        <w:t>personaloptioner i små teknikintensiva företag mycket</w:t>
      </w:r>
      <w:r w:rsidRPr="003A2318">
        <w:rPr>
          <w:rFonts w:eastAsia="Times New Roman" w:cs="Times New Roman"/>
          <w:color w:val="000000"/>
          <w:sz w:val="20"/>
          <w:szCs w:val="20"/>
        </w:rPr>
        <w:t xml:space="preserve"> sparsamt idag. Mao </w:t>
      </w:r>
      <w:r>
        <w:rPr>
          <w:rFonts w:eastAsia="Times New Roman" w:cs="Times New Roman"/>
          <w:color w:val="000000"/>
          <w:sz w:val="20"/>
          <w:szCs w:val="20"/>
        </w:rPr>
        <w:t xml:space="preserve">är </w:t>
      </w:r>
      <w:r w:rsidRPr="003A2318">
        <w:rPr>
          <w:rFonts w:eastAsia="Times New Roman" w:cs="Times New Roman"/>
          <w:color w:val="000000"/>
          <w:sz w:val="20"/>
          <w:szCs w:val="20"/>
        </w:rPr>
        <w:t xml:space="preserve">effekten </w:t>
      </w:r>
      <w:r>
        <w:rPr>
          <w:rFonts w:eastAsia="Times New Roman" w:cs="Times New Roman"/>
          <w:color w:val="000000"/>
          <w:sz w:val="20"/>
          <w:szCs w:val="20"/>
        </w:rPr>
        <w:t xml:space="preserve">av reglerna </w:t>
      </w:r>
      <w:r w:rsidRPr="003A2318">
        <w:rPr>
          <w:rFonts w:eastAsia="Times New Roman" w:cs="Times New Roman"/>
          <w:color w:val="000000"/>
          <w:sz w:val="20"/>
          <w:szCs w:val="20"/>
        </w:rPr>
        <w:t>måttlig</w:t>
      </w:r>
      <w:r>
        <w:rPr>
          <w:rFonts w:eastAsia="Times New Roman" w:cs="Times New Roman"/>
          <w:color w:val="000000"/>
          <w:sz w:val="20"/>
          <w:szCs w:val="20"/>
        </w:rPr>
        <w:t xml:space="preserve"> medan syftet var att stimulera företagens utvecklingsmöjligheter</w:t>
      </w:r>
      <w:r w:rsidRPr="003A2318">
        <w:rPr>
          <w:rFonts w:eastAsia="Times New Roman" w:cs="Times New Roman"/>
          <w:color w:val="000000"/>
          <w:sz w:val="20"/>
          <w:szCs w:val="20"/>
        </w:rPr>
        <w:t>.</w:t>
      </w:r>
    </w:p>
    <w:p w:rsidR="00BB36B0" w:rsidRPr="003A2318" w:rsidRDefault="00BB36B0" w:rsidP="00BB36B0">
      <w:pPr>
        <w:ind w:left="1304"/>
        <w:rPr>
          <w:rFonts w:eastAsia="Times New Roman" w:cs="Times New Roman"/>
          <w:color w:val="000000"/>
          <w:sz w:val="20"/>
          <w:szCs w:val="20"/>
        </w:rPr>
      </w:pPr>
    </w:p>
    <w:p w:rsidR="00BB36B0" w:rsidRPr="003A2318" w:rsidRDefault="00BB36B0" w:rsidP="00BB36B0">
      <w:pPr>
        <w:rPr>
          <w:rFonts w:eastAsia="Times New Roman" w:cs="Times New Roman"/>
          <w:color w:val="000000"/>
          <w:sz w:val="20"/>
          <w:szCs w:val="20"/>
        </w:rPr>
      </w:pPr>
      <w:r>
        <w:rPr>
          <w:rFonts w:eastAsia="Times New Roman" w:cs="Times New Roman"/>
          <w:color w:val="000000"/>
          <w:sz w:val="20"/>
          <w:szCs w:val="20"/>
        </w:rPr>
        <w:tab/>
      </w:r>
      <w:r w:rsidRPr="003A2318">
        <w:rPr>
          <w:rFonts w:eastAsia="Times New Roman" w:cs="Times New Roman"/>
          <w:color w:val="000000"/>
          <w:sz w:val="20"/>
          <w:szCs w:val="20"/>
        </w:rPr>
        <w:t xml:space="preserve">Båda dessa </w:t>
      </w:r>
      <w:r>
        <w:rPr>
          <w:rFonts w:eastAsia="Times New Roman" w:cs="Times New Roman"/>
          <w:color w:val="000000"/>
          <w:sz w:val="20"/>
          <w:szCs w:val="20"/>
        </w:rPr>
        <w:t>regelverk</w:t>
      </w:r>
      <w:r w:rsidRPr="003A2318">
        <w:rPr>
          <w:rFonts w:eastAsia="Times New Roman" w:cs="Times New Roman"/>
          <w:color w:val="000000"/>
          <w:sz w:val="20"/>
          <w:szCs w:val="20"/>
        </w:rPr>
        <w:t xml:space="preserve"> måste </w:t>
      </w:r>
      <w:r>
        <w:rPr>
          <w:rFonts w:eastAsia="Times New Roman" w:cs="Times New Roman"/>
          <w:color w:val="000000"/>
          <w:sz w:val="20"/>
          <w:szCs w:val="20"/>
        </w:rPr>
        <w:t>ses över</w:t>
      </w:r>
      <w:r w:rsidRPr="003A2318">
        <w:rPr>
          <w:rFonts w:eastAsia="Times New Roman" w:cs="Times New Roman"/>
          <w:color w:val="000000"/>
          <w:sz w:val="20"/>
          <w:szCs w:val="20"/>
        </w:rPr>
        <w:t xml:space="preserve"> för att ge effekt. </w:t>
      </w:r>
    </w:p>
    <w:p w:rsidR="00BB36B0" w:rsidRPr="003A2318" w:rsidRDefault="00BB36B0" w:rsidP="00BB36B0">
      <w:pPr>
        <w:rPr>
          <w:sz w:val="20"/>
          <w:szCs w:val="20"/>
        </w:rPr>
      </w:pPr>
    </w:p>
    <w:p w:rsidR="00BB36B0" w:rsidRPr="003A2318" w:rsidRDefault="00BB36B0" w:rsidP="00BB36B0">
      <w:pPr>
        <w:rPr>
          <w:sz w:val="18"/>
          <w:szCs w:val="18"/>
        </w:rPr>
      </w:pPr>
      <w:r w:rsidRPr="003A2318">
        <w:rPr>
          <w:sz w:val="18"/>
          <w:szCs w:val="18"/>
        </w:rPr>
        <w:t>Peter A Jörgensen</w:t>
      </w:r>
      <w:r w:rsidRPr="003A2318">
        <w:rPr>
          <w:sz w:val="18"/>
          <w:szCs w:val="18"/>
        </w:rPr>
        <w:tab/>
      </w:r>
      <w:r w:rsidRPr="003A2318">
        <w:rPr>
          <w:sz w:val="18"/>
          <w:szCs w:val="18"/>
        </w:rPr>
        <w:tab/>
      </w:r>
      <w:r w:rsidRPr="003A2318">
        <w:rPr>
          <w:sz w:val="18"/>
          <w:szCs w:val="18"/>
        </w:rPr>
        <w:tab/>
        <w:t>Kjell Jegefors</w:t>
      </w:r>
    </w:p>
    <w:p w:rsidR="00BB36B0" w:rsidRPr="003B6CAF" w:rsidRDefault="00BB36B0" w:rsidP="00BB36B0">
      <w:pPr>
        <w:rPr>
          <w:sz w:val="18"/>
          <w:szCs w:val="18"/>
        </w:rPr>
      </w:pPr>
      <w:hyperlink r:id="rId8" w:history="1">
        <w:r w:rsidRPr="003B6CAF">
          <w:rPr>
            <w:rStyle w:val="Hyperlnk"/>
            <w:sz w:val="18"/>
            <w:szCs w:val="18"/>
          </w:rPr>
          <w:t>peter.jorgensen@innovationeurope.se</w:t>
        </w:r>
      </w:hyperlink>
      <w:r w:rsidRPr="003B6CAF">
        <w:rPr>
          <w:sz w:val="18"/>
          <w:szCs w:val="18"/>
        </w:rPr>
        <w:tab/>
      </w:r>
      <w:r w:rsidRPr="003B6CAF">
        <w:rPr>
          <w:sz w:val="18"/>
          <w:szCs w:val="18"/>
        </w:rPr>
        <w:tab/>
      </w:r>
      <w:hyperlink r:id="rId9" w:history="1">
        <w:r w:rsidRPr="003B6CAF">
          <w:rPr>
            <w:rStyle w:val="Hyperlnk"/>
            <w:sz w:val="18"/>
            <w:szCs w:val="18"/>
          </w:rPr>
          <w:t>kjell.jegefors@telia.com</w:t>
        </w:r>
      </w:hyperlink>
      <w:r w:rsidRPr="003B6CAF">
        <w:rPr>
          <w:sz w:val="18"/>
          <w:szCs w:val="18"/>
        </w:rPr>
        <w:t xml:space="preserve"> </w:t>
      </w:r>
    </w:p>
    <w:p w:rsidR="00BB36B0" w:rsidRPr="00820DC7" w:rsidRDefault="00BB36B0" w:rsidP="00BB36B0">
      <w:pPr>
        <w:rPr>
          <w:szCs w:val="22"/>
        </w:rPr>
      </w:pPr>
      <w:r w:rsidRPr="003B6CAF">
        <w:rPr>
          <w:sz w:val="18"/>
          <w:szCs w:val="18"/>
        </w:rPr>
        <w:t>070-601 20 50</w:t>
      </w:r>
      <w:r w:rsidRPr="003B6CAF">
        <w:rPr>
          <w:sz w:val="18"/>
          <w:szCs w:val="18"/>
        </w:rPr>
        <w:tab/>
      </w:r>
      <w:r w:rsidRPr="003B6CAF">
        <w:rPr>
          <w:sz w:val="18"/>
          <w:szCs w:val="18"/>
        </w:rPr>
        <w:tab/>
      </w:r>
      <w:r w:rsidRPr="003B6CAF">
        <w:rPr>
          <w:sz w:val="18"/>
          <w:szCs w:val="18"/>
        </w:rPr>
        <w:tab/>
      </w:r>
      <w:r w:rsidRPr="003B6CAF">
        <w:rPr>
          <w:sz w:val="18"/>
          <w:szCs w:val="18"/>
        </w:rPr>
        <w:tab/>
        <w:t>070-526 40 72</w:t>
      </w:r>
    </w:p>
    <w:p w:rsidR="00BB36B0" w:rsidRDefault="00BB36B0" w:rsidP="00BB36B0">
      <w:pPr>
        <w:rPr>
          <w:sz w:val="18"/>
          <w:szCs w:val="18"/>
        </w:rPr>
      </w:pPr>
    </w:p>
    <w:p w:rsidR="00BB36B0" w:rsidRPr="004438D1" w:rsidRDefault="00BB36B0" w:rsidP="00BB36B0">
      <w:pPr>
        <w:rPr>
          <w:sz w:val="16"/>
          <w:szCs w:val="16"/>
        </w:rPr>
      </w:pPr>
      <w:r w:rsidRPr="004438D1">
        <w:rPr>
          <w:sz w:val="16"/>
          <w:szCs w:val="16"/>
        </w:rPr>
        <w:t xml:space="preserve">Tidigare bl.a. överingenjör </w:t>
      </w:r>
      <w:r w:rsidRPr="004438D1">
        <w:rPr>
          <w:sz w:val="16"/>
          <w:szCs w:val="16"/>
        </w:rPr>
        <w:tab/>
      </w:r>
      <w:r w:rsidRPr="004438D1">
        <w:rPr>
          <w:sz w:val="16"/>
          <w:szCs w:val="16"/>
        </w:rPr>
        <w:tab/>
      </w:r>
      <w:r w:rsidRPr="004438D1">
        <w:rPr>
          <w:sz w:val="16"/>
          <w:szCs w:val="16"/>
        </w:rPr>
        <w:tab/>
        <w:t xml:space="preserve">Tidigare bl.a. adm. chef </w:t>
      </w:r>
    </w:p>
    <w:p w:rsidR="00BB36B0" w:rsidRPr="004438D1" w:rsidRDefault="00BB36B0" w:rsidP="00BB36B0">
      <w:pPr>
        <w:rPr>
          <w:sz w:val="16"/>
          <w:szCs w:val="16"/>
        </w:rPr>
      </w:pPr>
      <w:r w:rsidRPr="004438D1">
        <w:rPr>
          <w:sz w:val="16"/>
          <w:szCs w:val="16"/>
        </w:rPr>
        <w:t>Styrelsen för Teknisk Utveckling STU,  </w:t>
      </w:r>
      <w:r w:rsidRPr="004438D1">
        <w:rPr>
          <w:sz w:val="16"/>
          <w:szCs w:val="16"/>
        </w:rPr>
        <w:tab/>
      </w:r>
      <w:r w:rsidRPr="004438D1">
        <w:rPr>
          <w:sz w:val="16"/>
          <w:szCs w:val="16"/>
        </w:rPr>
        <w:tab/>
        <w:t>Styrelsen för Teknisk Utveckling, STU</w:t>
      </w:r>
    </w:p>
    <w:p w:rsidR="00BB36B0" w:rsidRPr="004438D1" w:rsidRDefault="00BB36B0" w:rsidP="00BB36B0">
      <w:pPr>
        <w:rPr>
          <w:sz w:val="16"/>
          <w:szCs w:val="16"/>
        </w:rPr>
      </w:pPr>
      <w:r w:rsidRPr="004438D1">
        <w:rPr>
          <w:sz w:val="16"/>
          <w:szCs w:val="16"/>
        </w:rPr>
        <w:t>Teknisk attaché i Kalifornien,  </w:t>
      </w:r>
      <w:r w:rsidRPr="004438D1">
        <w:rPr>
          <w:sz w:val="16"/>
          <w:szCs w:val="16"/>
        </w:rPr>
        <w:tab/>
      </w:r>
      <w:r w:rsidRPr="004438D1">
        <w:rPr>
          <w:sz w:val="16"/>
          <w:szCs w:val="16"/>
        </w:rPr>
        <w:tab/>
      </w:r>
      <w:r w:rsidRPr="004438D1">
        <w:rPr>
          <w:sz w:val="16"/>
          <w:szCs w:val="16"/>
        </w:rPr>
        <w:tab/>
        <w:t>Ordförande Aktietorget Holding AB</w:t>
      </w:r>
    </w:p>
    <w:p w:rsidR="00BB36B0" w:rsidRPr="004438D1" w:rsidRDefault="00BB36B0" w:rsidP="00BB36B0">
      <w:pPr>
        <w:rPr>
          <w:sz w:val="16"/>
          <w:szCs w:val="16"/>
        </w:rPr>
      </w:pPr>
      <w:r w:rsidRPr="004438D1">
        <w:rPr>
          <w:sz w:val="16"/>
          <w:szCs w:val="16"/>
        </w:rPr>
        <w:t>Ordförande i Svenska Uppfinnareföreningen</w:t>
      </w:r>
      <w:r w:rsidRPr="004438D1">
        <w:rPr>
          <w:sz w:val="16"/>
          <w:szCs w:val="16"/>
        </w:rPr>
        <w:tab/>
      </w:r>
      <w:r w:rsidRPr="004438D1">
        <w:rPr>
          <w:sz w:val="16"/>
          <w:szCs w:val="16"/>
        </w:rPr>
        <w:tab/>
        <w:t xml:space="preserve">VD Svenska Uppfinnareföreningen </w:t>
      </w:r>
    </w:p>
    <w:p w:rsidR="00BB36B0" w:rsidRDefault="00BB36B0" w:rsidP="00BB36B0">
      <w:pPr>
        <w:rPr>
          <w:sz w:val="18"/>
          <w:szCs w:val="18"/>
        </w:rPr>
      </w:pPr>
    </w:p>
    <w:p w:rsidR="00BB36B0" w:rsidRPr="000F5B9C" w:rsidRDefault="00BB36B0" w:rsidP="00BB36B0">
      <w:pPr>
        <w:rPr>
          <w:sz w:val="18"/>
          <w:szCs w:val="18"/>
        </w:rPr>
      </w:pPr>
      <w:r w:rsidRPr="003B6CAF">
        <w:rPr>
          <w:sz w:val="18"/>
          <w:szCs w:val="18"/>
        </w:rPr>
        <w:t>Kopia:</w:t>
      </w:r>
      <w:r>
        <w:rPr>
          <w:sz w:val="18"/>
          <w:szCs w:val="18"/>
        </w:rPr>
        <w:t xml:space="preserve"> </w:t>
      </w:r>
      <w:proofErr w:type="spellStart"/>
      <w:r w:rsidRPr="003B6CAF">
        <w:rPr>
          <w:sz w:val="18"/>
          <w:szCs w:val="18"/>
        </w:rPr>
        <w:t>Darja</w:t>
      </w:r>
      <w:proofErr w:type="spellEnd"/>
      <w:r w:rsidRPr="003B6CAF">
        <w:rPr>
          <w:sz w:val="18"/>
          <w:szCs w:val="18"/>
        </w:rPr>
        <w:t xml:space="preserve"> Isaksson, Vinnova</w:t>
      </w:r>
      <w:r>
        <w:rPr>
          <w:sz w:val="18"/>
          <w:szCs w:val="18"/>
        </w:rPr>
        <w:t xml:space="preserve">, </w:t>
      </w:r>
      <w:r w:rsidRPr="003B6CAF">
        <w:rPr>
          <w:sz w:val="18"/>
          <w:szCs w:val="18"/>
        </w:rPr>
        <w:t>Peter Strömbäck, PRV</w:t>
      </w:r>
      <w:r>
        <w:rPr>
          <w:sz w:val="18"/>
          <w:szCs w:val="18"/>
        </w:rPr>
        <w:t>,</w:t>
      </w:r>
      <w:r w:rsidRPr="000F5B9C">
        <w:rPr>
          <w:sz w:val="18"/>
          <w:szCs w:val="18"/>
        </w:rPr>
        <w:t xml:space="preserve"> </w:t>
      </w:r>
      <w:r w:rsidRPr="003B6CAF">
        <w:rPr>
          <w:sz w:val="18"/>
          <w:szCs w:val="18"/>
        </w:rPr>
        <w:t>Ylva Berg, Business Sweden</w:t>
      </w:r>
      <w:r>
        <w:rPr>
          <w:sz w:val="18"/>
          <w:szCs w:val="18"/>
        </w:rPr>
        <w:t xml:space="preserve">, </w:t>
      </w:r>
      <w:r w:rsidRPr="003B6CAF">
        <w:rPr>
          <w:bCs/>
          <w:sz w:val="18"/>
          <w:szCs w:val="18"/>
        </w:rPr>
        <w:t>Anna Ax, Regeringskansliet</w:t>
      </w:r>
      <w:r>
        <w:rPr>
          <w:sz w:val="18"/>
          <w:szCs w:val="18"/>
        </w:rPr>
        <w:t xml:space="preserve">, </w:t>
      </w:r>
      <w:r w:rsidRPr="003B6CAF">
        <w:rPr>
          <w:rFonts w:eastAsia="Times New Roman" w:cs="Times New Roman"/>
          <w:color w:val="000000"/>
          <w:sz w:val="18"/>
          <w:szCs w:val="18"/>
        </w:rPr>
        <w:t xml:space="preserve">Anna </w:t>
      </w:r>
      <w:proofErr w:type="spellStart"/>
      <w:r w:rsidRPr="003B6CAF">
        <w:rPr>
          <w:rFonts w:eastAsia="Times New Roman" w:cs="Times New Roman"/>
          <w:color w:val="000000"/>
          <w:sz w:val="18"/>
          <w:szCs w:val="18"/>
        </w:rPr>
        <w:t>Enbert</w:t>
      </w:r>
      <w:proofErr w:type="spellEnd"/>
      <w:r>
        <w:rPr>
          <w:rFonts w:ascii="Times New Roman" w:eastAsia="Times New Roman" w:hAnsi="Times New Roman" w:cs="Times New Roman"/>
          <w:sz w:val="18"/>
          <w:szCs w:val="18"/>
        </w:rPr>
        <w:t>, Regeringskansliet</w:t>
      </w:r>
    </w:p>
    <w:p w:rsidR="00BB36B0" w:rsidRDefault="00BB36B0" w:rsidP="00BB36B0">
      <w:pPr>
        <w:rPr>
          <w:b/>
          <w:sz w:val="18"/>
          <w:szCs w:val="18"/>
        </w:rPr>
      </w:pPr>
      <w:r w:rsidRPr="00223A94">
        <w:rPr>
          <w:b/>
          <w:sz w:val="18"/>
          <w:szCs w:val="18"/>
        </w:rPr>
        <w:lastRenderedPageBreak/>
        <w:t>2019-</w:t>
      </w:r>
      <w:r>
        <w:rPr>
          <w:b/>
          <w:sz w:val="18"/>
          <w:szCs w:val="18"/>
        </w:rPr>
        <w:t>10-28</w:t>
      </w:r>
    </w:p>
    <w:p w:rsidR="00BB36B0" w:rsidRPr="00223A94" w:rsidRDefault="00BB36B0" w:rsidP="00BB36B0">
      <w:pPr>
        <w:rPr>
          <w:b/>
          <w:sz w:val="18"/>
          <w:szCs w:val="18"/>
        </w:rPr>
      </w:pPr>
    </w:p>
    <w:p w:rsidR="00BB36B0" w:rsidRPr="003B6CAF" w:rsidRDefault="00BB36B0" w:rsidP="00BB36B0">
      <w:pPr>
        <w:rPr>
          <w:b/>
          <w:sz w:val="18"/>
          <w:szCs w:val="18"/>
        </w:rPr>
      </w:pPr>
      <w:r w:rsidRPr="003B6CAF">
        <w:rPr>
          <w:b/>
          <w:sz w:val="18"/>
          <w:szCs w:val="18"/>
        </w:rPr>
        <w:t>Peter A Jörgensen</w:t>
      </w:r>
    </w:p>
    <w:p w:rsidR="00BB36B0" w:rsidRPr="003B6CAF" w:rsidRDefault="00BB36B0" w:rsidP="00BB36B0">
      <w:pPr>
        <w:rPr>
          <w:b/>
          <w:sz w:val="18"/>
          <w:szCs w:val="18"/>
        </w:rPr>
      </w:pPr>
      <w:r w:rsidRPr="003B6CAF">
        <w:rPr>
          <w:b/>
          <w:sz w:val="18"/>
          <w:szCs w:val="18"/>
        </w:rPr>
        <w:t>Kjell Jegefors</w:t>
      </w:r>
    </w:p>
    <w:p w:rsidR="00BB36B0" w:rsidRPr="003819B0" w:rsidRDefault="00BB36B0" w:rsidP="00BB36B0">
      <w:pPr>
        <w:rPr>
          <w:b/>
          <w:sz w:val="18"/>
          <w:szCs w:val="18"/>
        </w:rPr>
      </w:pPr>
    </w:p>
    <w:p w:rsidR="00BB36B0" w:rsidRDefault="00BB36B0" w:rsidP="00BB36B0">
      <w:pPr>
        <w:rPr>
          <w:b/>
          <w:sz w:val="32"/>
          <w:szCs w:val="32"/>
        </w:rPr>
      </w:pPr>
    </w:p>
    <w:p w:rsidR="00BB36B0" w:rsidRDefault="00BB36B0" w:rsidP="00BB36B0">
      <w:pPr>
        <w:rPr>
          <w:b/>
          <w:sz w:val="32"/>
          <w:szCs w:val="32"/>
        </w:rPr>
      </w:pPr>
      <w:r w:rsidRPr="003C62E8">
        <w:rPr>
          <w:b/>
          <w:sz w:val="32"/>
          <w:szCs w:val="32"/>
        </w:rPr>
        <w:t xml:space="preserve">ÄRENDE: </w:t>
      </w:r>
    </w:p>
    <w:p w:rsidR="00BB36B0" w:rsidRDefault="00BB36B0" w:rsidP="00BB36B0">
      <w:pPr>
        <w:rPr>
          <w:b/>
          <w:sz w:val="32"/>
          <w:szCs w:val="32"/>
        </w:rPr>
      </w:pPr>
      <w:r>
        <w:rPr>
          <w:b/>
          <w:sz w:val="32"/>
          <w:szCs w:val="32"/>
        </w:rPr>
        <w:t xml:space="preserve">Patent som </w:t>
      </w:r>
      <w:r w:rsidRPr="003B6CAF">
        <w:rPr>
          <w:b/>
          <w:sz w:val="32"/>
          <w:szCs w:val="32"/>
        </w:rPr>
        <w:t xml:space="preserve">immateriell </w:t>
      </w:r>
      <w:r w:rsidRPr="003064AF">
        <w:rPr>
          <w:b/>
          <w:sz w:val="32"/>
          <w:szCs w:val="32"/>
        </w:rPr>
        <w:t>värdeskapa</w:t>
      </w:r>
      <w:r>
        <w:rPr>
          <w:b/>
          <w:sz w:val="32"/>
          <w:szCs w:val="32"/>
        </w:rPr>
        <w:t>re</w:t>
      </w:r>
      <w:r w:rsidRPr="003064AF">
        <w:rPr>
          <w:b/>
          <w:sz w:val="32"/>
          <w:szCs w:val="32"/>
        </w:rPr>
        <w:t xml:space="preserve"> </w:t>
      </w:r>
    </w:p>
    <w:p w:rsidR="00BB36B0" w:rsidRDefault="00BB36B0" w:rsidP="00BB36B0">
      <w:pPr>
        <w:spacing w:line="240" w:lineRule="exact"/>
        <w:rPr>
          <w:b/>
          <w:sz w:val="32"/>
          <w:szCs w:val="32"/>
        </w:rPr>
      </w:pPr>
    </w:p>
    <w:p w:rsidR="00BB36B0" w:rsidRDefault="00BB36B0" w:rsidP="00BB36B0">
      <w:pPr>
        <w:rPr>
          <w:sz w:val="18"/>
          <w:szCs w:val="18"/>
        </w:rPr>
      </w:pPr>
    </w:p>
    <w:p w:rsidR="00BB36B0" w:rsidRPr="003A2318" w:rsidRDefault="00BB36B0" w:rsidP="00BB36B0">
      <w:pPr>
        <w:pStyle w:val="Normalwebb"/>
        <w:spacing w:before="0" w:beforeAutospacing="0" w:after="0" w:afterAutospacing="0"/>
        <w:rPr>
          <w:rFonts w:ascii="Palatino Linotype" w:eastAsiaTheme="minorHAnsi" w:hAnsi="Palatino Linotype"/>
          <w:b/>
          <w:sz w:val="22"/>
          <w:szCs w:val="22"/>
        </w:rPr>
      </w:pPr>
      <w:r w:rsidRPr="003A2318">
        <w:rPr>
          <w:rFonts w:ascii="Palatino Linotype" w:hAnsi="Palatino Linotype"/>
          <w:b/>
          <w:bCs/>
          <w:sz w:val="22"/>
          <w:szCs w:val="22"/>
        </w:rPr>
        <w:t xml:space="preserve">BUDGETPROPOSITION </w:t>
      </w:r>
      <w:r w:rsidRPr="003A2318">
        <w:rPr>
          <w:rFonts w:ascii="Palatino Linotype" w:eastAsiaTheme="minorHAnsi" w:hAnsi="Palatino Linotype"/>
          <w:b/>
          <w:sz w:val="22"/>
          <w:szCs w:val="22"/>
        </w:rPr>
        <w:t>2019/20:1 N</w:t>
      </w:r>
      <w:r w:rsidRPr="003A2318">
        <w:rPr>
          <w:rFonts w:ascii="Palatino Linotype" w:eastAsiaTheme="minorHAnsi" w:hAnsi="Palatino Linotype" w:hint="eastAsia"/>
          <w:b/>
          <w:sz w:val="22"/>
          <w:szCs w:val="22"/>
        </w:rPr>
        <w:t>Ä</w:t>
      </w:r>
      <w:r w:rsidRPr="003A2318">
        <w:rPr>
          <w:rFonts w:ascii="Palatino Linotype" w:eastAsiaTheme="minorHAnsi" w:hAnsi="Palatino Linotype"/>
          <w:b/>
          <w:sz w:val="22"/>
          <w:szCs w:val="22"/>
        </w:rPr>
        <w:t>RING</w:t>
      </w:r>
    </w:p>
    <w:p w:rsidR="00BB36B0" w:rsidRPr="003A2318" w:rsidRDefault="00BB36B0" w:rsidP="00BB36B0">
      <w:pPr>
        <w:pStyle w:val="Normalwebb"/>
        <w:spacing w:before="0" w:beforeAutospacing="0" w:after="0" w:afterAutospacing="0"/>
        <w:rPr>
          <w:rFonts w:ascii="Palatino Linotype" w:hAnsi="Palatino Linotype"/>
          <w:sz w:val="22"/>
          <w:szCs w:val="22"/>
        </w:rPr>
      </w:pPr>
      <w:r w:rsidRPr="003A2318">
        <w:rPr>
          <w:rFonts w:ascii="Palatino Linotype" w:hAnsi="Palatino Linotype"/>
          <w:sz w:val="22"/>
          <w:szCs w:val="22"/>
        </w:rPr>
        <w:t xml:space="preserve">Regeringen framhåller här det immateriella värdeskapandets stora betydelse: </w:t>
      </w:r>
    </w:p>
    <w:p w:rsidR="00BB36B0" w:rsidRPr="007B1445" w:rsidRDefault="00BB36B0" w:rsidP="00BB36B0">
      <w:pPr>
        <w:rPr>
          <w:szCs w:val="22"/>
        </w:rPr>
      </w:pPr>
      <w:r w:rsidRPr="007B1445">
        <w:rPr>
          <w:szCs w:val="22"/>
        </w:rPr>
        <w:t xml:space="preserve"> ”</w:t>
      </w:r>
      <w:r w:rsidRPr="007B1445">
        <w:rPr>
          <w:rFonts w:eastAsia="Times New Roman" w:cs="Times New Roman"/>
          <w:i/>
          <w:iCs/>
          <w:szCs w:val="22"/>
        </w:rPr>
        <w:t>Mö</w:t>
      </w:r>
      <w:r w:rsidRPr="003A2318">
        <w:rPr>
          <w:rFonts w:eastAsia="Times New Roman" w:cs="Times New Roman"/>
          <w:i/>
          <w:iCs/>
          <w:szCs w:val="22"/>
        </w:rPr>
        <w:t>j</w:t>
      </w:r>
      <w:r w:rsidRPr="007B1445">
        <w:rPr>
          <w:rFonts w:eastAsia="Times New Roman" w:cs="Times New Roman"/>
          <w:i/>
          <w:iCs/>
          <w:szCs w:val="22"/>
        </w:rPr>
        <w:t>ligheten att erhå</w:t>
      </w:r>
      <w:r w:rsidRPr="003A2318">
        <w:rPr>
          <w:rFonts w:eastAsia="Times New Roman" w:cs="Times New Roman"/>
          <w:i/>
          <w:iCs/>
          <w:szCs w:val="22"/>
        </w:rPr>
        <w:t>l</w:t>
      </w:r>
      <w:r w:rsidRPr="007B1445">
        <w:rPr>
          <w:rFonts w:eastAsia="Times New Roman" w:cs="Times New Roman"/>
          <w:i/>
          <w:iCs/>
          <w:szCs w:val="22"/>
        </w:rPr>
        <w:t>la immaterialrä</w:t>
      </w:r>
      <w:r w:rsidRPr="003A2318">
        <w:rPr>
          <w:rFonts w:eastAsia="Times New Roman" w:cs="Times New Roman"/>
          <w:i/>
          <w:iCs/>
          <w:szCs w:val="22"/>
        </w:rPr>
        <w:t>t</w:t>
      </w:r>
      <w:r w:rsidRPr="007B1445">
        <w:rPr>
          <w:rFonts w:eastAsia="Times New Roman" w:cs="Times New Roman"/>
          <w:i/>
          <w:iCs/>
          <w:szCs w:val="22"/>
        </w:rPr>
        <w:t>tsligt skydd ä</w:t>
      </w:r>
      <w:r w:rsidRPr="003A2318">
        <w:rPr>
          <w:rFonts w:eastAsia="Times New Roman" w:cs="Times New Roman"/>
          <w:i/>
          <w:iCs/>
          <w:szCs w:val="22"/>
        </w:rPr>
        <w:t>r</w:t>
      </w:r>
      <w:r w:rsidRPr="007B1445">
        <w:rPr>
          <w:rFonts w:eastAsia="Times New Roman" w:cs="Times New Roman"/>
          <w:i/>
          <w:iCs/>
          <w:szCs w:val="22"/>
        </w:rPr>
        <w:t xml:space="preserve"> av central betydelse fö</w:t>
      </w:r>
      <w:r w:rsidRPr="003A2318">
        <w:rPr>
          <w:rFonts w:eastAsia="Times New Roman" w:cs="Times New Roman"/>
          <w:i/>
          <w:iCs/>
          <w:szCs w:val="22"/>
        </w:rPr>
        <w:t>r</w:t>
      </w:r>
      <w:r w:rsidRPr="007B1445">
        <w:rPr>
          <w:rFonts w:eastAsia="Times New Roman" w:cs="Times New Roman"/>
          <w:i/>
          <w:iCs/>
          <w:szCs w:val="22"/>
        </w:rPr>
        <w:t xml:space="preserve"> må</w:t>
      </w:r>
      <w:r w:rsidRPr="003A2318">
        <w:rPr>
          <w:rFonts w:eastAsia="Times New Roman" w:cs="Times New Roman"/>
          <w:i/>
          <w:iCs/>
          <w:szCs w:val="22"/>
        </w:rPr>
        <w:t>n</w:t>
      </w:r>
      <w:r w:rsidRPr="007B1445">
        <w:rPr>
          <w:rFonts w:eastAsia="Times New Roman" w:cs="Times New Roman"/>
          <w:i/>
          <w:iCs/>
          <w:szCs w:val="22"/>
        </w:rPr>
        <w:t>ga fö</w:t>
      </w:r>
      <w:r w:rsidRPr="003A2318">
        <w:rPr>
          <w:rFonts w:eastAsia="Times New Roman" w:cs="Times New Roman"/>
          <w:i/>
          <w:iCs/>
          <w:szCs w:val="22"/>
        </w:rPr>
        <w:t>r</w:t>
      </w:r>
      <w:r w:rsidRPr="007B1445">
        <w:rPr>
          <w:rFonts w:eastAsia="Times New Roman" w:cs="Times New Roman"/>
          <w:i/>
          <w:iCs/>
          <w:szCs w:val="22"/>
        </w:rPr>
        <w:t>etag eftersom det ger dem en mö</w:t>
      </w:r>
      <w:r w:rsidRPr="003A2318">
        <w:rPr>
          <w:rFonts w:eastAsia="Times New Roman" w:cs="Times New Roman"/>
          <w:i/>
          <w:iCs/>
          <w:szCs w:val="22"/>
        </w:rPr>
        <w:t>j</w:t>
      </w:r>
      <w:r w:rsidRPr="007B1445">
        <w:rPr>
          <w:rFonts w:eastAsia="Times New Roman" w:cs="Times New Roman"/>
          <w:i/>
          <w:iCs/>
          <w:szCs w:val="22"/>
        </w:rPr>
        <w:t>lighet att få avkastning på investeringar, forskning och annan innovationsverksamhet.</w:t>
      </w:r>
      <w:r w:rsidRPr="007B1445">
        <w:rPr>
          <w:rFonts w:eastAsia="Times New Roman" w:cs="Times New Roman"/>
          <w:szCs w:val="22"/>
        </w:rPr>
        <w:t xml:space="preserve"> (Sid 22) </w:t>
      </w:r>
      <w:r w:rsidRPr="007B1445">
        <w:rPr>
          <w:rFonts w:eastAsia="Times New Roman"/>
          <w:b/>
          <w:bCs/>
          <w:i/>
          <w:iCs/>
          <w:szCs w:val="22"/>
        </w:rPr>
        <w:t>Ramvillkor och väl fungerande marknader som stärker företags konkurrenskraft</w:t>
      </w:r>
      <w:r w:rsidRPr="007B1445">
        <w:rPr>
          <w:rFonts w:eastAsia="Times New Roman"/>
          <w:i/>
          <w:iCs/>
          <w:szCs w:val="22"/>
        </w:rPr>
        <w:t xml:space="preserve">. </w:t>
      </w:r>
      <w:r w:rsidRPr="007B1445">
        <w:rPr>
          <w:rFonts w:eastAsia="Times New Roman" w:cs="Times New Roman"/>
          <w:i/>
          <w:iCs/>
          <w:szCs w:val="22"/>
        </w:rPr>
        <w:t>Områ</w:t>
      </w:r>
      <w:r w:rsidRPr="003A2318">
        <w:rPr>
          <w:rFonts w:eastAsia="Times New Roman" w:cs="Times New Roman"/>
          <w:i/>
          <w:iCs/>
          <w:szCs w:val="22"/>
        </w:rPr>
        <w:t>d</w:t>
      </w:r>
      <w:r w:rsidRPr="007B1445">
        <w:rPr>
          <w:rFonts w:eastAsia="Times New Roman" w:cs="Times New Roman"/>
          <w:i/>
          <w:iCs/>
          <w:szCs w:val="22"/>
        </w:rPr>
        <w:t xml:space="preserve">et omfattar </w:t>
      </w:r>
      <w:r w:rsidRPr="007B1445">
        <w:rPr>
          <w:rFonts w:eastAsia="Times New Roman"/>
          <w:i/>
          <w:iCs/>
          <w:szCs w:val="22"/>
        </w:rPr>
        <w:t>åtgärder</w:t>
      </w:r>
      <w:r w:rsidRPr="007B1445">
        <w:rPr>
          <w:rFonts w:eastAsia="Times New Roman" w:cs="Times New Roman"/>
          <w:i/>
          <w:iCs/>
          <w:szCs w:val="22"/>
        </w:rPr>
        <w:t xml:space="preserve"> och verksamheter som syftar till att skapa goda och likvä</w:t>
      </w:r>
      <w:r w:rsidRPr="003A2318">
        <w:rPr>
          <w:rFonts w:eastAsia="Times New Roman" w:cs="Times New Roman"/>
          <w:i/>
          <w:iCs/>
          <w:szCs w:val="22"/>
        </w:rPr>
        <w:t>r</w:t>
      </w:r>
      <w:r w:rsidRPr="007B1445">
        <w:rPr>
          <w:rFonts w:eastAsia="Times New Roman" w:cs="Times New Roman"/>
          <w:i/>
          <w:iCs/>
          <w:szCs w:val="22"/>
        </w:rPr>
        <w:t>diga fö</w:t>
      </w:r>
      <w:r w:rsidRPr="003A2318">
        <w:rPr>
          <w:rFonts w:eastAsia="Times New Roman" w:cs="Times New Roman"/>
          <w:i/>
          <w:iCs/>
          <w:szCs w:val="22"/>
        </w:rPr>
        <w:t>r</w:t>
      </w:r>
      <w:r w:rsidRPr="007B1445">
        <w:rPr>
          <w:rFonts w:eastAsia="Times New Roman" w:cs="Times New Roman"/>
          <w:i/>
          <w:iCs/>
          <w:szCs w:val="22"/>
        </w:rPr>
        <w:t>utsät</w:t>
      </w:r>
      <w:r w:rsidRPr="003A2318">
        <w:rPr>
          <w:rFonts w:eastAsia="Times New Roman" w:cs="Times New Roman"/>
          <w:i/>
          <w:iCs/>
          <w:szCs w:val="22"/>
        </w:rPr>
        <w:t>t</w:t>
      </w:r>
      <w:r w:rsidRPr="007B1445">
        <w:rPr>
          <w:rFonts w:eastAsia="Times New Roman" w:cs="Times New Roman"/>
          <w:i/>
          <w:iCs/>
          <w:szCs w:val="22"/>
        </w:rPr>
        <w:t>ningar fö</w:t>
      </w:r>
      <w:r w:rsidRPr="003A2318">
        <w:rPr>
          <w:rFonts w:eastAsia="Times New Roman" w:cs="Times New Roman"/>
          <w:i/>
          <w:iCs/>
          <w:szCs w:val="22"/>
        </w:rPr>
        <w:t>r</w:t>
      </w:r>
      <w:r w:rsidRPr="007B1445">
        <w:rPr>
          <w:rFonts w:eastAsia="Times New Roman" w:cs="Times New Roman"/>
          <w:i/>
          <w:iCs/>
          <w:szCs w:val="22"/>
        </w:rPr>
        <w:t xml:space="preserve"> så</w:t>
      </w:r>
      <w:r w:rsidRPr="003A2318">
        <w:rPr>
          <w:rFonts w:eastAsia="Times New Roman" w:cs="Times New Roman"/>
          <w:i/>
          <w:iCs/>
          <w:szCs w:val="22"/>
        </w:rPr>
        <w:t>v</w:t>
      </w:r>
      <w:r w:rsidRPr="007B1445">
        <w:rPr>
          <w:rFonts w:eastAsia="Times New Roman" w:cs="Times New Roman"/>
          <w:i/>
          <w:iCs/>
          <w:szCs w:val="22"/>
        </w:rPr>
        <w:t>äl nya som etablerade fö</w:t>
      </w:r>
      <w:r w:rsidRPr="003A2318">
        <w:rPr>
          <w:rFonts w:eastAsia="Times New Roman" w:cs="Times New Roman"/>
          <w:i/>
          <w:iCs/>
          <w:szCs w:val="22"/>
        </w:rPr>
        <w:t>r</w:t>
      </w:r>
      <w:r w:rsidRPr="007B1445">
        <w:rPr>
          <w:rFonts w:eastAsia="Times New Roman" w:cs="Times New Roman"/>
          <w:i/>
          <w:iCs/>
          <w:szCs w:val="22"/>
        </w:rPr>
        <w:t>etag och verksamheter att utmana och konkurrera med varandra.</w:t>
      </w:r>
      <w:r w:rsidRPr="007B1445">
        <w:rPr>
          <w:rFonts w:eastAsia="Times New Roman" w:cs="Times New Roman"/>
          <w:szCs w:val="22"/>
        </w:rPr>
        <w:t xml:space="preserve"> </w:t>
      </w:r>
      <w:r w:rsidRPr="007B1445">
        <w:rPr>
          <w:rFonts w:eastAsia="Times New Roman"/>
          <w:szCs w:val="22"/>
        </w:rPr>
        <w:t>”(Sid 24).</w:t>
      </w:r>
    </w:p>
    <w:p w:rsidR="00BB36B0" w:rsidRDefault="00BB36B0" w:rsidP="00BB36B0">
      <w:pPr>
        <w:rPr>
          <w:b/>
          <w:bCs/>
          <w:szCs w:val="22"/>
        </w:rPr>
      </w:pPr>
    </w:p>
    <w:p w:rsidR="00BB36B0" w:rsidRPr="00A47AB4" w:rsidRDefault="00BB36B0" w:rsidP="00BB36B0">
      <w:pPr>
        <w:rPr>
          <w:b/>
          <w:bCs/>
          <w:szCs w:val="22"/>
        </w:rPr>
      </w:pPr>
      <w:r w:rsidRPr="00A47AB4">
        <w:rPr>
          <w:b/>
          <w:bCs/>
          <w:szCs w:val="22"/>
        </w:rPr>
        <w:t>KORT BAKGRUND</w:t>
      </w:r>
    </w:p>
    <w:p w:rsidR="00BB36B0" w:rsidRPr="008347DE" w:rsidRDefault="00BB36B0" w:rsidP="00BB36B0">
      <w:pPr>
        <w:rPr>
          <w:szCs w:val="22"/>
        </w:rPr>
      </w:pPr>
      <w:r>
        <w:rPr>
          <w:szCs w:val="22"/>
        </w:rPr>
        <w:t>Sverige är ett särfall när det gäller rättegångar om patenttvister. Vid civilrättsliga mål missgynnas de kapitalsvaga aktörer i alla länder. För att råda bot på motsvarande obalanser har både England och Tyskland infört regler, som bl.a. innebär att parterna redan tidigt vet det största belopp den tappande parten måste erlägga till den vinnande parten i ersättning för rättegångskostnader. För mindre företag är antalet tvister, som går till rättegång, mångdubbelt större (per capita) i Tyskland, Nederländerna och Frankrike än i Sverige. Dvs den kapitalsvage parten vågar processa. Se sid 10.</w:t>
      </w:r>
    </w:p>
    <w:p w:rsidR="00BB36B0" w:rsidRDefault="00BB36B0" w:rsidP="00BB36B0">
      <w:pPr>
        <w:rPr>
          <w:b/>
          <w:szCs w:val="22"/>
        </w:rPr>
      </w:pPr>
    </w:p>
    <w:p w:rsidR="00BB36B0" w:rsidRDefault="00BB36B0" w:rsidP="00BB36B0">
      <w:r>
        <w:t>I England och Wales infördes en ny domstol 2010, som begränsar rättegångskostnaderna, som belastar den tappande parten till GBP 50 000 och som skall erläggas till motparten. Utvärderingen från England visar dels goda resultat i form av fler fall som prövas i rätten dels högre kvalitet på uppnådda förlikningar.</w:t>
      </w:r>
      <w:r>
        <w:rPr>
          <w:rStyle w:val="Fotnotsreferens"/>
        </w:rPr>
        <w:footnoteReference w:id="1"/>
      </w:r>
    </w:p>
    <w:p w:rsidR="00BB36B0" w:rsidRDefault="00BB36B0" w:rsidP="00BB36B0"/>
    <w:p w:rsidR="00BB36B0" w:rsidRDefault="00BB36B0" w:rsidP="00BB36B0">
      <w:r>
        <w:t>Innovationssverige drabbas av uteblivna intäkter dels på grund av det undermåliga ramverket, dvs de juridiska- och formella reglerna dels kompetensbristen hos offentliga och privata finansiärer liksom hos de kapitalsvaga aktörerna. Detta intäktsbortfall är enligt vår uppfattning mycket stort.</w:t>
      </w:r>
    </w:p>
    <w:p w:rsidR="00BB36B0" w:rsidRDefault="00BB36B0" w:rsidP="00BB36B0"/>
    <w:p w:rsidR="00BB36B0" w:rsidRDefault="00BB36B0" w:rsidP="00BB36B0">
      <w:r>
        <w:rPr>
          <w:b/>
          <w:sz w:val="28"/>
          <w:szCs w:val="28"/>
        </w:rPr>
        <w:t xml:space="preserve">1. </w:t>
      </w:r>
      <w:r w:rsidRPr="00C52CC8">
        <w:rPr>
          <w:b/>
          <w:sz w:val="28"/>
          <w:szCs w:val="28"/>
        </w:rPr>
        <w:t>NYTT UPPDRAG TILL VINNOVA OCH PRV</w:t>
      </w:r>
      <w:r w:rsidRPr="00C52CC8" w:rsidDel="00440BE2">
        <w:rPr>
          <w:b/>
          <w:sz w:val="28"/>
          <w:szCs w:val="28"/>
        </w:rPr>
        <w:t xml:space="preserve"> </w:t>
      </w:r>
    </w:p>
    <w:p w:rsidR="00BB36B0" w:rsidRPr="003A2318" w:rsidRDefault="00BB36B0" w:rsidP="00BB36B0">
      <w:pPr>
        <w:rPr>
          <w:b/>
          <w:sz w:val="24"/>
        </w:rPr>
      </w:pPr>
      <w:r w:rsidRPr="003A2318">
        <w:rPr>
          <w:b/>
          <w:sz w:val="24"/>
        </w:rPr>
        <w:t>Åtgärder för att öka nyttan av ett nytt uppdrag till Vinnova och PRV</w:t>
      </w:r>
    </w:p>
    <w:p w:rsidR="00BB36B0" w:rsidRDefault="00BB36B0" w:rsidP="00BB36B0">
      <w:pPr>
        <w:rPr>
          <w:szCs w:val="22"/>
        </w:rPr>
      </w:pPr>
      <w:r>
        <w:rPr>
          <w:szCs w:val="22"/>
        </w:rPr>
        <w:t>Potentialen är god i det immateriella värdeskapande enligt regeringen. Enligt vår uppfattning kan denna potential utnyttjas avsevärt bättre. Den grupp vi fokuserar på är</w:t>
      </w:r>
      <w:r w:rsidRPr="008347DE">
        <w:rPr>
          <w:szCs w:val="22"/>
        </w:rPr>
        <w:t xml:space="preserve"> start-</w:t>
      </w:r>
      <w:proofErr w:type="spellStart"/>
      <w:r w:rsidRPr="008347DE">
        <w:rPr>
          <w:szCs w:val="22"/>
        </w:rPr>
        <w:t>up</w:t>
      </w:r>
      <w:proofErr w:type="spellEnd"/>
      <w:r w:rsidRPr="008347DE">
        <w:rPr>
          <w:szCs w:val="22"/>
        </w:rPr>
        <w:t xml:space="preserve">-företagen, uppfinnarna, universitetsforskarna och andra små företag de </w:t>
      </w:r>
      <w:r>
        <w:rPr>
          <w:szCs w:val="22"/>
        </w:rPr>
        <w:t xml:space="preserve">s.k. </w:t>
      </w:r>
      <w:r w:rsidRPr="008347DE">
        <w:rPr>
          <w:szCs w:val="22"/>
        </w:rPr>
        <w:lastRenderedPageBreak/>
        <w:t xml:space="preserve">kapitalsvaga aktörerna. </w:t>
      </w:r>
      <w:r>
        <w:rPr>
          <w:szCs w:val="22"/>
        </w:rPr>
        <w:t xml:space="preserve">Det svenska ramverket är idag inte rättssäkert i den meningen att de kapitalsvaga aktörerna </w:t>
      </w:r>
      <w:proofErr w:type="spellStart"/>
      <w:r>
        <w:rPr>
          <w:szCs w:val="22"/>
        </w:rPr>
        <w:t>pga</w:t>
      </w:r>
      <w:proofErr w:type="spellEnd"/>
      <w:r>
        <w:rPr>
          <w:szCs w:val="22"/>
        </w:rPr>
        <w:t xml:space="preserve"> sina ekonomiska begränsningar har synnerligen svårt att föra sina tvister till rättegång. Nuvarande regeringsuppdrag </w:t>
      </w:r>
      <w:r w:rsidRPr="008944D4">
        <w:rPr>
          <w:szCs w:val="22"/>
        </w:rPr>
        <w:t xml:space="preserve">(N2016/02167/IF) </w:t>
      </w:r>
      <w:r>
        <w:rPr>
          <w:szCs w:val="22"/>
        </w:rPr>
        <w:t xml:space="preserve">har inte behandlat denna fråga. Dessutom tror vi att organisationen för att stimulera det immateriella värdeskapandet kan vara mer transparant och effektivare för att nå detta. </w:t>
      </w:r>
      <w:r w:rsidRPr="008347DE">
        <w:rPr>
          <w:szCs w:val="22"/>
        </w:rPr>
        <w:t xml:space="preserve">Nedan </w:t>
      </w:r>
      <w:r>
        <w:rPr>
          <w:szCs w:val="22"/>
        </w:rPr>
        <w:t xml:space="preserve">presenterar </w:t>
      </w:r>
      <w:r w:rsidRPr="008347DE">
        <w:rPr>
          <w:szCs w:val="22"/>
        </w:rPr>
        <w:t xml:space="preserve">vi några förslag. </w:t>
      </w:r>
    </w:p>
    <w:p w:rsidR="00BB36B0" w:rsidRDefault="00BB36B0" w:rsidP="00BB36B0">
      <w:pPr>
        <w:rPr>
          <w:b/>
          <w:szCs w:val="22"/>
        </w:rPr>
      </w:pPr>
    </w:p>
    <w:p w:rsidR="00BB36B0" w:rsidRDefault="00BB36B0" w:rsidP="00BB36B0">
      <w:pPr>
        <w:rPr>
          <w:b/>
          <w:szCs w:val="22"/>
        </w:rPr>
      </w:pPr>
      <w:r w:rsidRPr="008347DE">
        <w:rPr>
          <w:b/>
          <w:szCs w:val="22"/>
        </w:rPr>
        <w:t>A</w:t>
      </w:r>
    </w:p>
    <w:p w:rsidR="00BB36B0" w:rsidRPr="008347DE" w:rsidRDefault="00BB36B0" w:rsidP="00BB36B0">
      <w:pPr>
        <w:rPr>
          <w:b/>
          <w:szCs w:val="22"/>
        </w:rPr>
      </w:pPr>
      <w:r w:rsidRPr="008347DE">
        <w:rPr>
          <w:b/>
          <w:szCs w:val="22"/>
        </w:rPr>
        <w:t>Tydliga regler för ansvar</w:t>
      </w:r>
      <w:r>
        <w:rPr>
          <w:b/>
          <w:szCs w:val="22"/>
        </w:rPr>
        <w:t xml:space="preserve"> och kontaktpunkter för vidare</w:t>
      </w:r>
      <w:r w:rsidRPr="008347DE">
        <w:rPr>
          <w:b/>
          <w:szCs w:val="22"/>
        </w:rPr>
        <w:t>utveckling</w:t>
      </w:r>
      <w:r>
        <w:rPr>
          <w:b/>
          <w:szCs w:val="22"/>
        </w:rPr>
        <w:t>en av det immateriella värdeskapandet</w:t>
      </w:r>
    </w:p>
    <w:p w:rsidR="00BB36B0" w:rsidRDefault="00BB36B0" w:rsidP="00BB36B0">
      <w:pPr>
        <w:rPr>
          <w:szCs w:val="22"/>
        </w:rPr>
      </w:pPr>
      <w:r w:rsidRPr="008347DE">
        <w:rPr>
          <w:szCs w:val="22"/>
        </w:rPr>
        <w:t xml:space="preserve">Idag är ansvaret </w:t>
      </w:r>
      <w:r>
        <w:rPr>
          <w:szCs w:val="22"/>
        </w:rPr>
        <w:t xml:space="preserve">främst </w:t>
      </w:r>
      <w:r w:rsidRPr="008347DE">
        <w:rPr>
          <w:szCs w:val="22"/>
        </w:rPr>
        <w:t xml:space="preserve">uppdelat mellan PRV, Vinnova, Business Sweden, Patent- och marknadsdomstolen(PMD), Patent- och marknadsöverdomstolen(PMÖD), Tullverket, Polisen, Åklagarmyndigheten. Det </w:t>
      </w:r>
      <w:r>
        <w:rPr>
          <w:szCs w:val="22"/>
        </w:rPr>
        <w:t xml:space="preserve">är angeläget </w:t>
      </w:r>
      <w:r w:rsidRPr="008347DE">
        <w:rPr>
          <w:szCs w:val="22"/>
        </w:rPr>
        <w:t>att någon av dessa myndigheter</w:t>
      </w:r>
      <w:r>
        <w:rPr>
          <w:szCs w:val="22"/>
        </w:rPr>
        <w:t>,</w:t>
      </w:r>
      <w:r w:rsidRPr="008347DE">
        <w:rPr>
          <w:szCs w:val="22"/>
        </w:rPr>
        <w:t xml:space="preserve"> </w:t>
      </w:r>
      <w:r>
        <w:rPr>
          <w:szCs w:val="22"/>
        </w:rPr>
        <w:t xml:space="preserve">exempelvis Vinnova eller PRV, </w:t>
      </w:r>
      <w:r w:rsidRPr="008347DE">
        <w:rPr>
          <w:szCs w:val="22"/>
        </w:rPr>
        <w:t>f</w:t>
      </w:r>
      <w:r>
        <w:rPr>
          <w:szCs w:val="22"/>
        </w:rPr>
        <w:t>år</w:t>
      </w:r>
      <w:r w:rsidRPr="008347DE">
        <w:rPr>
          <w:szCs w:val="22"/>
        </w:rPr>
        <w:t xml:space="preserve"> ett samordningsansvar eller </w:t>
      </w:r>
      <w:r>
        <w:rPr>
          <w:szCs w:val="22"/>
        </w:rPr>
        <w:t>att</w:t>
      </w:r>
      <w:r w:rsidRPr="008347DE">
        <w:rPr>
          <w:szCs w:val="22"/>
        </w:rPr>
        <w:t xml:space="preserve"> regering</w:t>
      </w:r>
      <w:r>
        <w:rPr>
          <w:szCs w:val="22"/>
        </w:rPr>
        <w:t>en</w:t>
      </w:r>
      <w:r w:rsidRPr="008347DE">
        <w:rPr>
          <w:szCs w:val="22"/>
        </w:rPr>
        <w:t xml:space="preserve"> på annat vis uts</w:t>
      </w:r>
      <w:r>
        <w:rPr>
          <w:szCs w:val="22"/>
        </w:rPr>
        <w:t>er</w:t>
      </w:r>
      <w:r w:rsidRPr="008347DE">
        <w:rPr>
          <w:szCs w:val="22"/>
        </w:rPr>
        <w:t xml:space="preserve"> en grupp att samordna arbetet</w:t>
      </w:r>
      <w:r>
        <w:rPr>
          <w:szCs w:val="22"/>
        </w:rPr>
        <w:t xml:space="preserve"> med ett övergripande ansvar</w:t>
      </w:r>
      <w:r w:rsidRPr="008347DE">
        <w:rPr>
          <w:szCs w:val="22"/>
        </w:rPr>
        <w:t xml:space="preserve">. </w:t>
      </w:r>
    </w:p>
    <w:p w:rsidR="00BB36B0" w:rsidRDefault="00BB36B0" w:rsidP="00BB36B0">
      <w:pPr>
        <w:rPr>
          <w:szCs w:val="22"/>
        </w:rPr>
      </w:pPr>
    </w:p>
    <w:p w:rsidR="00BB36B0" w:rsidRPr="000D673A" w:rsidRDefault="00BB36B0" w:rsidP="00BB36B0">
      <w:pPr>
        <w:rPr>
          <w:rFonts w:ascii="Times New Roman" w:eastAsia="Times New Roman" w:hAnsi="Times New Roman" w:cs="Times New Roman"/>
          <w:sz w:val="24"/>
        </w:rPr>
      </w:pPr>
      <w:r>
        <w:rPr>
          <w:szCs w:val="22"/>
        </w:rPr>
        <w:t xml:space="preserve">De tjänstemän, som hanterar dessa frågor bör ha </w:t>
      </w:r>
      <w:r w:rsidRPr="003A2318">
        <w:t xml:space="preserve">erfarenhet av att </w:t>
      </w:r>
      <w:r>
        <w:t xml:space="preserve">dels </w:t>
      </w:r>
      <w:r w:rsidRPr="003A2318">
        <w:t>skydda en uppfinning</w:t>
      </w:r>
    </w:p>
    <w:p w:rsidR="00BB36B0" w:rsidRDefault="00BB36B0" w:rsidP="00BB36B0">
      <w:pPr>
        <w:rPr>
          <w:szCs w:val="22"/>
        </w:rPr>
      </w:pPr>
      <w:r>
        <w:rPr>
          <w:szCs w:val="22"/>
        </w:rPr>
        <w:t xml:space="preserve">och dels medverkat vid kommersialisering av produkter. Dessutom måste en kvalificerad styr- eller referensgrupp knytas till sekretariatet och bestå av immaterialrättsjurister, patentombud, entreprenörer, licensexperter och entreprenörer. Det ankommer på den myndigheten - sekretariatet att utarbeta en handlingsplan för att utöka det immateriella värdeskapandet och att denna plan kommuniceras med omvärlden. </w:t>
      </w:r>
    </w:p>
    <w:p w:rsidR="00BB36B0" w:rsidRPr="008347DE" w:rsidRDefault="00BB36B0" w:rsidP="00BB36B0">
      <w:pPr>
        <w:rPr>
          <w:b/>
          <w:szCs w:val="22"/>
        </w:rPr>
      </w:pPr>
    </w:p>
    <w:p w:rsidR="00BB36B0" w:rsidRPr="008347DE" w:rsidRDefault="00BB36B0" w:rsidP="00BB36B0">
      <w:pPr>
        <w:rPr>
          <w:b/>
          <w:szCs w:val="22"/>
        </w:rPr>
      </w:pPr>
      <w:r w:rsidRPr="008347DE">
        <w:rPr>
          <w:b/>
          <w:szCs w:val="22"/>
        </w:rPr>
        <w:t xml:space="preserve">För </w:t>
      </w:r>
      <w:r>
        <w:rPr>
          <w:b/>
          <w:szCs w:val="22"/>
        </w:rPr>
        <w:t>vidare</w:t>
      </w:r>
      <w:r w:rsidRPr="008347DE">
        <w:rPr>
          <w:b/>
          <w:szCs w:val="22"/>
        </w:rPr>
        <w:t>utvecklingen inom området beh</w:t>
      </w:r>
      <w:r>
        <w:rPr>
          <w:b/>
          <w:szCs w:val="22"/>
        </w:rPr>
        <w:t>övs</w:t>
      </w:r>
      <w:r w:rsidRPr="008347DE">
        <w:rPr>
          <w:b/>
          <w:szCs w:val="22"/>
        </w:rPr>
        <w:t xml:space="preserve"> </w:t>
      </w:r>
      <w:r>
        <w:rPr>
          <w:b/>
          <w:szCs w:val="22"/>
        </w:rPr>
        <w:t xml:space="preserve">således </w:t>
      </w:r>
      <w:r w:rsidRPr="008347DE">
        <w:rPr>
          <w:b/>
          <w:szCs w:val="22"/>
        </w:rPr>
        <w:t>en organisation</w:t>
      </w:r>
      <w:r>
        <w:rPr>
          <w:b/>
          <w:szCs w:val="22"/>
        </w:rPr>
        <w:t xml:space="preserve"> med </w:t>
      </w:r>
      <w:r w:rsidRPr="008347DE">
        <w:rPr>
          <w:b/>
          <w:szCs w:val="22"/>
        </w:rPr>
        <w:t xml:space="preserve">ansvar </w:t>
      </w:r>
      <w:r>
        <w:rPr>
          <w:b/>
          <w:szCs w:val="22"/>
        </w:rPr>
        <w:t xml:space="preserve">för </w:t>
      </w:r>
      <w:r w:rsidRPr="008347DE">
        <w:rPr>
          <w:b/>
          <w:szCs w:val="22"/>
        </w:rPr>
        <w:t>utveckling och experimenterande</w:t>
      </w:r>
      <w:r>
        <w:rPr>
          <w:b/>
          <w:szCs w:val="22"/>
        </w:rPr>
        <w:t xml:space="preserve"> och som löpande följer </w:t>
      </w:r>
      <w:r w:rsidRPr="008347DE">
        <w:rPr>
          <w:b/>
          <w:szCs w:val="22"/>
        </w:rPr>
        <w:t xml:space="preserve">aktuella internationella </w:t>
      </w:r>
      <w:r>
        <w:rPr>
          <w:b/>
          <w:szCs w:val="22"/>
        </w:rPr>
        <w:t xml:space="preserve">trender och </w:t>
      </w:r>
      <w:r w:rsidRPr="008347DE">
        <w:rPr>
          <w:b/>
          <w:szCs w:val="22"/>
        </w:rPr>
        <w:t xml:space="preserve">överträdelser </w:t>
      </w:r>
    </w:p>
    <w:p w:rsidR="00BB36B0" w:rsidRDefault="00BB36B0" w:rsidP="00BB36B0">
      <w:pPr>
        <w:widowControl w:val="0"/>
        <w:autoSpaceDE w:val="0"/>
        <w:autoSpaceDN w:val="0"/>
        <w:adjustRightInd w:val="0"/>
        <w:rPr>
          <w:szCs w:val="22"/>
        </w:rPr>
      </w:pPr>
      <w:r w:rsidRPr="008347DE">
        <w:rPr>
          <w:szCs w:val="22"/>
        </w:rPr>
        <w:t>Europeiska kommissionens underavdelning för immateriellt värdeskapande</w:t>
      </w:r>
      <w:r>
        <w:rPr>
          <w:szCs w:val="22"/>
        </w:rPr>
        <w:t xml:space="preserve"> EUIPO</w:t>
      </w:r>
      <w:r w:rsidRPr="008347DE">
        <w:rPr>
          <w:szCs w:val="22"/>
        </w:rPr>
        <w:t xml:space="preserve"> och </w:t>
      </w:r>
      <w:r>
        <w:rPr>
          <w:szCs w:val="22"/>
        </w:rPr>
        <w:t xml:space="preserve">dess </w:t>
      </w:r>
      <w:r w:rsidRPr="008347DE">
        <w:rPr>
          <w:szCs w:val="22"/>
        </w:rPr>
        <w:t>observatorium (</w:t>
      </w:r>
      <w:proofErr w:type="spellStart"/>
      <w:r w:rsidRPr="007F3591">
        <w:rPr>
          <w:szCs w:val="22"/>
        </w:rPr>
        <w:t>Observatory</w:t>
      </w:r>
      <w:proofErr w:type="spellEnd"/>
      <w:r w:rsidRPr="008347DE">
        <w:rPr>
          <w:szCs w:val="22"/>
        </w:rPr>
        <w:t xml:space="preserve">) kan tjäna, som förebild. Dess </w:t>
      </w:r>
      <w:r>
        <w:rPr>
          <w:szCs w:val="22"/>
        </w:rPr>
        <w:t>instruktioner</w:t>
      </w:r>
      <w:r w:rsidRPr="008347DE">
        <w:rPr>
          <w:szCs w:val="22"/>
        </w:rPr>
        <w:t xml:space="preserve"> ger möjlighet att utan stor fördröjning följa utvecklingen inom området.</w:t>
      </w:r>
      <w:r w:rsidRPr="008347DE">
        <w:rPr>
          <w:rStyle w:val="Fotnotsreferens"/>
          <w:szCs w:val="22"/>
        </w:rPr>
        <w:footnoteReference w:id="2"/>
      </w:r>
      <w:r w:rsidRPr="0088412D">
        <w:rPr>
          <w:szCs w:val="22"/>
        </w:rPr>
        <w:t xml:space="preserve"> </w:t>
      </w:r>
      <w:r>
        <w:rPr>
          <w:szCs w:val="22"/>
        </w:rPr>
        <w:t>Här bör också andra funktioner läggas såsom olika former av experiment och utveckling av statistik, som bör utvecklas. Bristerna påverkar policyutvecklingen.</w:t>
      </w:r>
    </w:p>
    <w:p w:rsidR="00BB36B0" w:rsidRDefault="00BB36B0" w:rsidP="00BB36B0">
      <w:pPr>
        <w:rPr>
          <w:sz w:val="18"/>
          <w:szCs w:val="18"/>
        </w:rPr>
      </w:pPr>
    </w:p>
    <w:p w:rsidR="00BB36B0" w:rsidRDefault="00BB36B0" w:rsidP="00BB36B0">
      <w:pPr>
        <w:rPr>
          <w:szCs w:val="22"/>
        </w:rPr>
      </w:pPr>
      <w:r w:rsidRPr="008347DE">
        <w:rPr>
          <w:szCs w:val="22"/>
        </w:rPr>
        <w:t>I dagsläget uppmanar politiker aktörer, som hamnar i internationell</w:t>
      </w:r>
      <w:r>
        <w:rPr>
          <w:szCs w:val="22"/>
        </w:rPr>
        <w:t>a</w:t>
      </w:r>
      <w:r w:rsidRPr="008347DE">
        <w:rPr>
          <w:szCs w:val="22"/>
        </w:rPr>
        <w:t xml:space="preserve"> tvistemål att kontakta Business Sweden och på detta vis rapportera problemen till regeringskansliet.</w:t>
      </w:r>
      <w:r>
        <w:rPr>
          <w:szCs w:val="22"/>
        </w:rPr>
        <w:t xml:space="preserve"> En  formaliserad ordning, d</w:t>
      </w:r>
      <w:r w:rsidRPr="008347DE">
        <w:rPr>
          <w:szCs w:val="22"/>
        </w:rPr>
        <w:t>är problem sammanställs periodiskt</w:t>
      </w:r>
      <w:r>
        <w:rPr>
          <w:szCs w:val="22"/>
        </w:rPr>
        <w:t xml:space="preserve"> bör skapas. Se en EU-rapport i ämnet</w:t>
      </w:r>
      <w:r w:rsidRPr="008347DE">
        <w:rPr>
          <w:szCs w:val="22"/>
        </w:rPr>
        <w:t>.</w:t>
      </w:r>
      <w:r>
        <w:rPr>
          <w:rStyle w:val="Fotnotsreferens"/>
          <w:szCs w:val="22"/>
        </w:rPr>
        <w:footnoteReference w:id="3"/>
      </w:r>
    </w:p>
    <w:p w:rsidR="00BB36B0" w:rsidRDefault="00BB36B0" w:rsidP="00BB36B0">
      <w:pPr>
        <w:rPr>
          <w:szCs w:val="22"/>
        </w:rPr>
      </w:pPr>
    </w:p>
    <w:p w:rsidR="00BB36B0" w:rsidRDefault="00BB36B0" w:rsidP="00BB36B0">
      <w:pPr>
        <w:rPr>
          <w:szCs w:val="22"/>
        </w:rPr>
      </w:pPr>
      <w:r>
        <w:rPr>
          <w:szCs w:val="22"/>
        </w:rPr>
        <w:t>De</w:t>
      </w:r>
      <w:r>
        <w:rPr>
          <w:szCs w:val="22"/>
        </w:rPr>
        <w:t>tt</w:t>
      </w:r>
      <w:r>
        <w:rPr>
          <w:szCs w:val="22"/>
        </w:rPr>
        <w:t xml:space="preserve">a </w:t>
      </w:r>
      <w:r>
        <w:rPr>
          <w:szCs w:val="22"/>
        </w:rPr>
        <w:t xml:space="preserve">sekretariat måste också bli en lärande organisation genom att exempelvis ordna regelbundna seminarier med deltagare från alla fyra berörda kategorier dvs entreprenörer, jurister/patentombud, forskare och personal från anslagsmyndigheter. Det är viktigt att öka förståelsen mellan dessa grupper. </w:t>
      </w:r>
    </w:p>
    <w:p w:rsidR="00BB36B0" w:rsidRDefault="00BB36B0" w:rsidP="00BB36B0">
      <w:pPr>
        <w:rPr>
          <w:szCs w:val="22"/>
        </w:rPr>
      </w:pPr>
    </w:p>
    <w:p w:rsidR="00BB36B0" w:rsidRPr="008347DE" w:rsidRDefault="00BB36B0" w:rsidP="00BB36B0">
      <w:pPr>
        <w:rPr>
          <w:szCs w:val="22"/>
        </w:rPr>
      </w:pPr>
      <w:r>
        <w:rPr>
          <w:szCs w:val="22"/>
        </w:rPr>
        <w:t xml:space="preserve">Under utvecklingen av den nya organisationen och forskningsprogrammet bör dels hearing eller liknande anordnas så att synpunkter inhämtas från dem, som är beroende av det immateriella värdeskapandet dels bör internationella experter inbjudas för konsultation. Detta är praxis inom forskarvärlden och nyttjas frekvent av Vinnova för att utvärdera program. Den nya organisationen bör också hålla sig uppdaterad om den internationella utvecklingen inom patenträtten i synnerhet den europeiska. </w:t>
      </w:r>
    </w:p>
    <w:p w:rsidR="00BB36B0" w:rsidRDefault="00BB36B0" w:rsidP="00BB36B0">
      <w:pPr>
        <w:rPr>
          <w:szCs w:val="22"/>
        </w:rPr>
      </w:pPr>
    </w:p>
    <w:p w:rsidR="00BB36B0" w:rsidRDefault="00BB36B0" w:rsidP="00BB36B0">
      <w:pPr>
        <w:rPr>
          <w:b/>
          <w:szCs w:val="22"/>
        </w:rPr>
      </w:pPr>
      <w:r>
        <w:rPr>
          <w:b/>
          <w:szCs w:val="22"/>
        </w:rPr>
        <w:t>B</w:t>
      </w:r>
    </w:p>
    <w:p w:rsidR="00BB36B0" w:rsidRPr="004243DE" w:rsidRDefault="00BB36B0" w:rsidP="00BB36B0">
      <w:pPr>
        <w:rPr>
          <w:b/>
          <w:szCs w:val="22"/>
        </w:rPr>
      </w:pPr>
      <w:r w:rsidRPr="004243DE">
        <w:rPr>
          <w:b/>
          <w:szCs w:val="22"/>
        </w:rPr>
        <w:t>Jurist</w:t>
      </w:r>
      <w:r>
        <w:rPr>
          <w:b/>
          <w:szCs w:val="22"/>
        </w:rPr>
        <w:t xml:space="preserve"> och </w:t>
      </w:r>
      <w:r w:rsidRPr="004243DE">
        <w:rPr>
          <w:b/>
          <w:szCs w:val="22"/>
        </w:rPr>
        <w:t>patentjour</w:t>
      </w:r>
    </w:p>
    <w:p w:rsidR="00BB36B0" w:rsidRDefault="00BB36B0" w:rsidP="00BB36B0">
      <w:pPr>
        <w:rPr>
          <w:szCs w:val="22"/>
        </w:rPr>
      </w:pPr>
      <w:r>
        <w:rPr>
          <w:szCs w:val="22"/>
        </w:rPr>
        <w:t>Mot bakgrund av komplexiteten av affärsutvecklingen av nya företag som är baserade på forskning, utveckling och uppfinnande är det viktigt att ett skyddsnät finns för de idéer som ska exploateras. Redan i tidiga skeden av ett projekts utveckling måste ställningstaganden tas kring juridiska och patenträttsliga frågor. Kompetensen rörande dessa frågor är bristfällig hos utvecklaren/entreprenören samtidigt som de ekonomiska resurserna är små. En jurist- och patentjour bör utredas och förberedas med offentliga medel med syfte att erbjuda sådan kompetens till denna målgrupp. Här finns omfattande kompetens hos advokat- och patentbyråer, som på lämpligt vis kan nyttjas på uppdragsbasis. Eventuellt kan denna samordnas med det arbete EUIPO nyligen initierat. Se sid 8 under BAKGRUND.</w:t>
      </w:r>
    </w:p>
    <w:p w:rsidR="00BB36B0" w:rsidRDefault="00BB36B0" w:rsidP="00BB36B0">
      <w:pPr>
        <w:rPr>
          <w:szCs w:val="22"/>
        </w:rPr>
      </w:pPr>
    </w:p>
    <w:p w:rsidR="00BB36B0" w:rsidRPr="003A2318" w:rsidRDefault="00BB36B0" w:rsidP="00BB36B0">
      <w:pPr>
        <w:rPr>
          <w:b/>
          <w:bCs/>
          <w:szCs w:val="22"/>
        </w:rPr>
      </w:pPr>
      <w:r w:rsidRPr="003A2318">
        <w:rPr>
          <w:b/>
          <w:bCs/>
          <w:szCs w:val="22"/>
        </w:rPr>
        <w:t>C</w:t>
      </w:r>
    </w:p>
    <w:p w:rsidR="00BB36B0" w:rsidRDefault="00BB36B0" w:rsidP="00BB36B0">
      <w:pPr>
        <w:rPr>
          <w:b/>
          <w:bCs/>
          <w:szCs w:val="22"/>
        </w:rPr>
      </w:pPr>
      <w:r w:rsidRPr="00EF77E7">
        <w:rPr>
          <w:b/>
          <w:bCs/>
          <w:szCs w:val="22"/>
        </w:rPr>
        <w:t xml:space="preserve">Industriövergripande </w:t>
      </w:r>
      <w:r>
        <w:rPr>
          <w:b/>
          <w:bCs/>
          <w:szCs w:val="22"/>
        </w:rPr>
        <w:t>medling</w:t>
      </w:r>
    </w:p>
    <w:p w:rsidR="00BB36B0" w:rsidRDefault="00BB36B0" w:rsidP="00BB36B0">
      <w:pPr>
        <w:rPr>
          <w:szCs w:val="22"/>
        </w:rPr>
      </w:pPr>
      <w:r w:rsidRPr="00EF77E7">
        <w:rPr>
          <w:szCs w:val="22"/>
        </w:rPr>
        <w:t xml:space="preserve">Det vore av </w:t>
      </w:r>
      <w:r>
        <w:rPr>
          <w:szCs w:val="22"/>
        </w:rPr>
        <w:t xml:space="preserve">stort </w:t>
      </w:r>
      <w:r w:rsidRPr="00EF77E7">
        <w:rPr>
          <w:szCs w:val="22"/>
        </w:rPr>
        <w:t>värde</w:t>
      </w:r>
      <w:r>
        <w:rPr>
          <w:szCs w:val="22"/>
        </w:rPr>
        <w:t xml:space="preserve"> att utreda olika parters intresse för att etablera en organisation som kan finna lösningar på eller förebygga patenttvister på ett enklare och effektivare vis än dagens rättegångar. Ett förenklat skiljemannaförfarande kan vara en modell, som parterna kunde utnyttja mer. Alternativa sätt för att skydda sin idé eller produkt än att söka patent bör studeras. Olika modeller kan vidareutvecklas tex med ett utökat branschansvar. En enklare form av medling ingår också i det program europeiska kommissionen utreder. Se sid 5.</w:t>
      </w:r>
    </w:p>
    <w:p w:rsidR="00BB36B0" w:rsidRPr="003A2318" w:rsidRDefault="00BB36B0" w:rsidP="00BB36B0">
      <w:pPr>
        <w:rPr>
          <w:b/>
          <w:sz w:val="28"/>
          <w:szCs w:val="28"/>
        </w:rPr>
      </w:pPr>
      <w:r>
        <w:rPr>
          <w:b/>
          <w:sz w:val="28"/>
          <w:szCs w:val="28"/>
        </w:rPr>
        <w:t>2. FÖR</w:t>
      </w:r>
      <w:r w:rsidRPr="008076AE">
        <w:rPr>
          <w:b/>
          <w:sz w:val="28"/>
          <w:szCs w:val="28"/>
        </w:rPr>
        <w:t>SLAG TILL</w:t>
      </w:r>
      <w:r w:rsidRPr="003A2318">
        <w:rPr>
          <w:b/>
          <w:sz w:val="28"/>
          <w:szCs w:val="28"/>
        </w:rPr>
        <w:t xml:space="preserve"> FORSKNINGSPROJEKT INFÖR NY FORSKNINGSPROPOSITION</w:t>
      </w:r>
    </w:p>
    <w:p w:rsidR="00BB36B0" w:rsidRPr="003B6CAF" w:rsidRDefault="00BB36B0" w:rsidP="00BB36B0">
      <w:r w:rsidRPr="003B6CAF">
        <w:t xml:space="preserve">Ett väl underbyggt och fungerande forskningsprogram är nödvändigt för </w:t>
      </w:r>
      <w:r w:rsidRPr="00145FD5">
        <w:t>policyutvecklingen inom det immateriella värdeskapandet. Nästa steg i policyutvecklingen kan inte tag</w:t>
      </w:r>
      <w:r>
        <w:t>a</w:t>
      </w:r>
      <w:r w:rsidRPr="00145FD5">
        <w:t xml:space="preserve">s utan ett väl utvecklat forskningsprogram. </w:t>
      </w:r>
      <w:r>
        <w:t>Policyunderlagen och statistiken idag är mycket knapphändiga vilket också påverkar debatten inom området.</w:t>
      </w:r>
    </w:p>
    <w:p w:rsidR="00BB36B0" w:rsidRDefault="00BB36B0" w:rsidP="00BB36B0">
      <w:pPr>
        <w:rPr>
          <w:rFonts w:eastAsia="Times New Roman" w:cs="Times New Roman"/>
          <w:b/>
          <w:color w:val="000000"/>
          <w:szCs w:val="22"/>
        </w:rPr>
      </w:pPr>
    </w:p>
    <w:p w:rsidR="00BB36B0" w:rsidRPr="00C05FAA" w:rsidRDefault="00BB36B0" w:rsidP="00BB36B0">
      <w:pPr>
        <w:rPr>
          <w:rFonts w:eastAsia="Times New Roman" w:cs="Times New Roman"/>
          <w:color w:val="000000"/>
          <w:szCs w:val="22"/>
        </w:rPr>
      </w:pPr>
      <w:r w:rsidRPr="00C05FAA">
        <w:rPr>
          <w:rFonts w:eastAsia="Times New Roman" w:cs="Times New Roman"/>
          <w:b/>
          <w:color w:val="000000"/>
          <w:szCs w:val="22"/>
        </w:rPr>
        <w:t>A</w:t>
      </w:r>
      <w:r w:rsidRPr="00C05FAA">
        <w:rPr>
          <w:rFonts w:eastAsia="Times New Roman" w:cs="Times New Roman"/>
          <w:color w:val="000000"/>
          <w:szCs w:val="22"/>
        </w:rPr>
        <w:t xml:space="preserve"> </w:t>
      </w:r>
    </w:p>
    <w:p w:rsidR="00BB36B0" w:rsidRDefault="00BB36B0" w:rsidP="00BB36B0">
      <w:pPr>
        <w:rPr>
          <w:rFonts w:eastAsia="Times New Roman" w:cs="Times New Roman"/>
          <w:color w:val="000000"/>
          <w:szCs w:val="22"/>
        </w:rPr>
      </w:pPr>
      <w:r w:rsidRPr="008076AE">
        <w:rPr>
          <w:rFonts w:eastAsia="Times New Roman" w:cs="Times New Roman"/>
          <w:b/>
          <w:color w:val="000000"/>
          <w:szCs w:val="22"/>
        </w:rPr>
        <w:t xml:space="preserve">Kapitalsvaga aktörer </w:t>
      </w:r>
      <w:r>
        <w:rPr>
          <w:rFonts w:eastAsia="Times New Roman" w:cs="Times New Roman"/>
          <w:b/>
          <w:color w:val="000000"/>
          <w:szCs w:val="22"/>
        </w:rPr>
        <w:t>deltager i liten omfattning i rättegångar om patenttvister i Sverige</w:t>
      </w:r>
      <w:r w:rsidRPr="008076AE">
        <w:rPr>
          <w:rFonts w:eastAsia="Times New Roman" w:cs="Times New Roman"/>
          <w:b/>
          <w:color w:val="000000"/>
          <w:szCs w:val="22"/>
        </w:rPr>
        <w:t>.</w:t>
      </w:r>
      <w:r w:rsidRPr="008076AE">
        <w:rPr>
          <w:rFonts w:eastAsia="Times New Roman" w:cs="Times New Roman"/>
          <w:color w:val="000000"/>
          <w:szCs w:val="22"/>
        </w:rPr>
        <w:t xml:space="preserve"> </w:t>
      </w:r>
      <w:r>
        <w:rPr>
          <w:rFonts w:eastAsia="Times New Roman" w:cs="Times New Roman"/>
          <w:color w:val="000000"/>
          <w:szCs w:val="22"/>
        </w:rPr>
        <w:t>Se BAKGRUND. En</w:t>
      </w:r>
      <w:r w:rsidRPr="008076AE">
        <w:rPr>
          <w:rFonts w:eastAsia="Times New Roman" w:cs="Times New Roman"/>
          <w:color w:val="000000"/>
          <w:szCs w:val="22"/>
        </w:rPr>
        <w:t xml:space="preserve"> mer aktiv</w:t>
      </w:r>
      <w:r w:rsidRPr="00BF2A51">
        <w:rPr>
          <w:rFonts w:eastAsia="Times New Roman" w:cs="Times New Roman"/>
          <w:color w:val="000000"/>
          <w:szCs w:val="22"/>
        </w:rPr>
        <w:t xml:space="preserve"> process</w:t>
      </w:r>
      <w:r>
        <w:rPr>
          <w:rFonts w:eastAsia="Times New Roman" w:cs="Times New Roman"/>
          <w:color w:val="000000"/>
          <w:szCs w:val="22"/>
        </w:rPr>
        <w:t>ledning</w:t>
      </w:r>
      <w:r w:rsidRPr="00BF2A51">
        <w:rPr>
          <w:rFonts w:eastAsia="Times New Roman" w:cs="Times New Roman"/>
          <w:color w:val="000000"/>
          <w:szCs w:val="22"/>
        </w:rPr>
        <w:t xml:space="preserve"> </w:t>
      </w:r>
      <w:r>
        <w:rPr>
          <w:rFonts w:eastAsia="Times New Roman" w:cs="Times New Roman"/>
          <w:color w:val="000000"/>
          <w:szCs w:val="22"/>
        </w:rPr>
        <w:t>med</w:t>
      </w:r>
      <w:r w:rsidRPr="00BF2A51">
        <w:rPr>
          <w:rFonts w:eastAsia="Times New Roman" w:cs="Times New Roman"/>
          <w:color w:val="000000"/>
          <w:szCs w:val="22"/>
        </w:rPr>
        <w:t xml:space="preserve"> bl.a. begränsningar i krav på den förlorande partens betalningsansvar </w:t>
      </w:r>
      <w:r>
        <w:rPr>
          <w:rFonts w:eastAsia="Times New Roman" w:cs="Times New Roman"/>
          <w:color w:val="000000"/>
          <w:szCs w:val="22"/>
        </w:rPr>
        <w:t xml:space="preserve">till den andra parten, skulle </w:t>
      </w:r>
      <w:r w:rsidRPr="00BF2A51">
        <w:rPr>
          <w:rFonts w:eastAsia="Times New Roman" w:cs="Times New Roman"/>
          <w:color w:val="000000"/>
          <w:szCs w:val="22"/>
        </w:rPr>
        <w:t>kun</w:t>
      </w:r>
      <w:r>
        <w:rPr>
          <w:rFonts w:eastAsia="Times New Roman" w:cs="Times New Roman"/>
          <w:color w:val="000000"/>
          <w:szCs w:val="22"/>
        </w:rPr>
        <w:t>na</w:t>
      </w:r>
      <w:r w:rsidRPr="00BF2A51">
        <w:rPr>
          <w:rFonts w:eastAsia="Times New Roman" w:cs="Times New Roman"/>
          <w:color w:val="000000"/>
          <w:szCs w:val="22"/>
        </w:rPr>
        <w:t xml:space="preserve"> ändra på detta. Jmf </w:t>
      </w:r>
      <w:r w:rsidRPr="00BF2A51">
        <w:rPr>
          <w:rFonts w:eastAsia="Times New Roman" w:cs="Times New Roman"/>
          <w:color w:val="000000"/>
          <w:szCs w:val="22"/>
        </w:rPr>
        <w:lastRenderedPageBreak/>
        <w:t>Tyskland</w:t>
      </w:r>
      <w:r>
        <w:rPr>
          <w:rFonts w:eastAsia="Times New Roman" w:cs="Times New Roman"/>
          <w:color w:val="000000"/>
          <w:szCs w:val="22"/>
        </w:rPr>
        <w:t xml:space="preserve"> och Storbritannien</w:t>
      </w:r>
      <w:r w:rsidRPr="00BF2A51">
        <w:rPr>
          <w:rFonts w:eastAsia="Times New Roman" w:cs="Times New Roman"/>
          <w:color w:val="000000"/>
          <w:szCs w:val="22"/>
        </w:rPr>
        <w:t>.</w:t>
      </w:r>
      <w:r>
        <w:rPr>
          <w:rFonts w:eastAsia="Times New Roman" w:cs="Times New Roman"/>
          <w:color w:val="000000"/>
          <w:szCs w:val="22"/>
        </w:rPr>
        <w:t xml:space="preserve"> Olika förslag till minskning av obalanserna vid dessa rättegångar bör föreslås. </w:t>
      </w:r>
    </w:p>
    <w:p w:rsidR="00BB36B0" w:rsidRPr="00290EC4" w:rsidRDefault="00BB36B0" w:rsidP="00BB36B0">
      <w:pPr>
        <w:ind w:left="1304"/>
        <w:rPr>
          <w:rFonts w:eastAsia="Times New Roman" w:cs="Times New Roman"/>
          <w:color w:val="000000"/>
          <w:szCs w:val="22"/>
          <w:lang w:val="en-US"/>
        </w:rPr>
      </w:pPr>
      <w:r w:rsidRPr="00D20D5A">
        <w:rPr>
          <w:rFonts w:cs="Arial"/>
          <w:i/>
          <w:szCs w:val="22"/>
          <w:lang w:val="en-GB"/>
        </w:rPr>
        <w:t>Availability and access to litigation data is crucial in order to evaluate the functioning of patent litigation systems and therefore to assess the merits of proposals to reform them. However, availability of data necessary for evidence-based analysis and policy recommendations differs greatly across jurisdictions</w:t>
      </w:r>
      <w:r>
        <w:rPr>
          <w:rStyle w:val="Fotnotsreferens"/>
          <w:rFonts w:cs="Arial"/>
          <w:i/>
          <w:szCs w:val="22"/>
          <w:lang w:val="en-GB"/>
        </w:rPr>
        <w:footnoteReference w:id="4"/>
      </w:r>
    </w:p>
    <w:p w:rsidR="00BB36B0" w:rsidRPr="003A2318" w:rsidRDefault="00BB36B0" w:rsidP="00BB36B0">
      <w:pPr>
        <w:rPr>
          <w:rFonts w:eastAsia="Times New Roman" w:cs="Times New Roman"/>
          <w:b/>
          <w:color w:val="000000"/>
          <w:szCs w:val="22"/>
          <w:lang w:val="en-US"/>
        </w:rPr>
      </w:pPr>
    </w:p>
    <w:p w:rsidR="00BB36B0" w:rsidRDefault="00BB36B0" w:rsidP="00BB36B0">
      <w:pPr>
        <w:rPr>
          <w:rFonts w:eastAsia="Times New Roman" w:cs="Times New Roman"/>
          <w:color w:val="000000"/>
          <w:szCs w:val="22"/>
        </w:rPr>
      </w:pPr>
      <w:r w:rsidRPr="00C05FAA">
        <w:rPr>
          <w:rFonts w:eastAsia="Times New Roman" w:cs="Times New Roman"/>
          <w:b/>
          <w:color w:val="000000"/>
          <w:szCs w:val="22"/>
        </w:rPr>
        <w:t>B</w:t>
      </w:r>
      <w:r>
        <w:rPr>
          <w:rFonts w:eastAsia="Times New Roman" w:cs="Times New Roman"/>
          <w:color w:val="000000"/>
          <w:szCs w:val="22"/>
        </w:rPr>
        <w:t xml:space="preserve"> </w:t>
      </w:r>
    </w:p>
    <w:p w:rsidR="00BB36B0" w:rsidRDefault="00BB36B0" w:rsidP="00BB36B0">
      <w:pPr>
        <w:rPr>
          <w:rFonts w:eastAsia="Times New Roman" w:cs="Times New Roman"/>
          <w:b/>
          <w:bCs/>
          <w:color w:val="000000"/>
          <w:szCs w:val="22"/>
        </w:rPr>
      </w:pPr>
      <w:r w:rsidRPr="003A2318">
        <w:rPr>
          <w:rFonts w:eastAsia="Times New Roman" w:cs="Times New Roman"/>
          <w:b/>
          <w:bCs/>
          <w:color w:val="000000"/>
          <w:szCs w:val="22"/>
        </w:rPr>
        <w:t>Försäkringslösning</w:t>
      </w:r>
    </w:p>
    <w:p w:rsidR="00BB36B0" w:rsidRDefault="00BB36B0" w:rsidP="00BB36B0">
      <w:pPr>
        <w:rPr>
          <w:rFonts w:ascii="PalatinoLinotype-Roman" w:eastAsia="Times New Roman" w:hAnsi="PalatinoLinotype-Roman" w:cs="Times New Roman"/>
          <w:color w:val="000000"/>
          <w:szCs w:val="22"/>
        </w:rPr>
      </w:pPr>
      <w:r>
        <w:rPr>
          <w:szCs w:val="22"/>
        </w:rPr>
        <w:t xml:space="preserve">Ett ofta förekommande förslag för att skydda och stärka den kapitalsvages möjligheter att få sin rätt prövad är ett försäkringssystem. Frågan har tidigare utretts men någon varaktig lösning har inte kommit till stånd. I den alltmer globaliserade och tekniskt vetenskapligt komplicerade omvärlden är det angeläget att offentligt stöd kan bidra till att en försäkringslösning skapas för de innovativa och kreativa grupperna. Detta är även en central del av det utvecklingsarbete, som europeiska kommissionen genomför. Se BAKGRUND. I väntan på dessa internationella förslag till lösningar, som kan dröja mycket länge, bör en svensk studie genomföras, som visar antalet patenttvister och hur en försäkring, skulle kunna lösa dessa problem. </w:t>
      </w:r>
      <w:r>
        <w:rPr>
          <w:rFonts w:ascii="PalatinoLinotype-Roman" w:eastAsia="Times New Roman" w:hAnsi="PalatinoLinotype-Roman" w:cs="Times New Roman"/>
          <w:color w:val="000000"/>
          <w:szCs w:val="22"/>
        </w:rPr>
        <w:t xml:space="preserve">Tidigare lösningar </w:t>
      </w:r>
      <w:r w:rsidRPr="003A2318">
        <w:rPr>
          <w:rFonts w:ascii="PalatinoLinotype-Roman" w:eastAsia="Times New Roman" w:hAnsi="PalatinoLinotype-Roman" w:cs="Times New Roman"/>
          <w:color w:val="000000"/>
          <w:szCs w:val="22"/>
        </w:rPr>
        <w:t>har stupat p</w:t>
      </w:r>
      <w:r w:rsidRPr="003A2318">
        <w:rPr>
          <w:rFonts w:ascii="PalatinoLinotype-Roman" w:eastAsia="Times New Roman" w:hAnsi="PalatinoLinotype-Roman" w:cs="Times New Roman" w:hint="eastAsia"/>
          <w:color w:val="000000"/>
          <w:szCs w:val="22"/>
        </w:rPr>
        <w:t>å</w:t>
      </w:r>
      <w:r w:rsidRPr="003A2318">
        <w:rPr>
          <w:rFonts w:ascii="PalatinoLinotype-Roman" w:eastAsia="Times New Roman" w:hAnsi="PalatinoLinotype-Roman" w:cs="Times New Roman"/>
          <w:color w:val="000000"/>
          <w:szCs w:val="22"/>
        </w:rPr>
        <w:t xml:space="preserve"> att premierna blir s</w:t>
      </w:r>
      <w:r w:rsidRPr="003A2318">
        <w:rPr>
          <w:rFonts w:ascii="PalatinoLinotype-Roman" w:eastAsia="Times New Roman" w:hAnsi="PalatinoLinotype-Roman" w:cs="Times New Roman" w:hint="eastAsia"/>
          <w:color w:val="000000"/>
          <w:szCs w:val="22"/>
        </w:rPr>
        <w:t>å</w:t>
      </w:r>
      <w:r w:rsidRPr="003A2318">
        <w:rPr>
          <w:rFonts w:ascii="PalatinoLinotype-Roman" w:eastAsia="Times New Roman" w:hAnsi="PalatinoLinotype-Roman" w:cs="Times New Roman"/>
          <w:color w:val="000000"/>
          <w:szCs w:val="22"/>
        </w:rPr>
        <w:t xml:space="preserve"> h</w:t>
      </w:r>
      <w:r w:rsidRPr="003A2318">
        <w:rPr>
          <w:rFonts w:ascii="PalatinoLinotype-Roman" w:eastAsia="Times New Roman" w:hAnsi="PalatinoLinotype-Roman" w:cs="Times New Roman" w:hint="eastAsia"/>
          <w:color w:val="000000"/>
          <w:szCs w:val="22"/>
        </w:rPr>
        <w:t>ö</w:t>
      </w:r>
      <w:r w:rsidRPr="003A2318">
        <w:rPr>
          <w:rFonts w:ascii="PalatinoLinotype-Roman" w:eastAsia="Times New Roman" w:hAnsi="PalatinoLinotype-Roman" w:cs="Times New Roman"/>
          <w:color w:val="000000"/>
          <w:szCs w:val="22"/>
        </w:rPr>
        <w:t>ga att det inte blir tillr</w:t>
      </w:r>
      <w:r w:rsidRPr="003A2318">
        <w:rPr>
          <w:rFonts w:ascii="PalatinoLinotype-Roman" w:eastAsia="Times New Roman" w:hAnsi="PalatinoLinotype-Roman" w:cs="Times New Roman" w:hint="eastAsia"/>
          <w:color w:val="000000"/>
          <w:szCs w:val="22"/>
        </w:rPr>
        <w:t>ä</w:t>
      </w:r>
      <w:r w:rsidRPr="003A2318">
        <w:rPr>
          <w:rFonts w:ascii="PalatinoLinotype-Roman" w:eastAsia="Times New Roman" w:hAnsi="PalatinoLinotype-Roman" w:cs="Times New Roman"/>
          <w:color w:val="000000"/>
          <w:szCs w:val="22"/>
        </w:rPr>
        <w:t>ckligt m</w:t>
      </w:r>
      <w:r w:rsidRPr="003A2318">
        <w:rPr>
          <w:rFonts w:ascii="PalatinoLinotype-Roman" w:eastAsia="Times New Roman" w:hAnsi="PalatinoLinotype-Roman" w:cs="Times New Roman" w:hint="eastAsia"/>
          <w:color w:val="000000"/>
          <w:szCs w:val="22"/>
        </w:rPr>
        <w:t>å</w:t>
      </w:r>
      <w:r w:rsidRPr="003A2318">
        <w:rPr>
          <w:rFonts w:ascii="PalatinoLinotype-Roman" w:eastAsia="Times New Roman" w:hAnsi="PalatinoLinotype-Roman" w:cs="Times New Roman"/>
          <w:color w:val="000000"/>
          <w:szCs w:val="22"/>
        </w:rPr>
        <w:t>nga f</w:t>
      </w:r>
      <w:r w:rsidRPr="003A2318">
        <w:rPr>
          <w:rFonts w:ascii="PalatinoLinotype-Roman" w:eastAsia="Times New Roman" w:hAnsi="PalatinoLinotype-Roman" w:cs="Times New Roman" w:hint="eastAsia"/>
          <w:color w:val="000000"/>
          <w:szCs w:val="22"/>
        </w:rPr>
        <w:t>ö</w:t>
      </w:r>
      <w:r w:rsidRPr="003A2318">
        <w:rPr>
          <w:rFonts w:ascii="PalatinoLinotype-Roman" w:eastAsia="Times New Roman" w:hAnsi="PalatinoLinotype-Roman" w:cs="Times New Roman"/>
          <w:color w:val="000000"/>
          <w:szCs w:val="22"/>
        </w:rPr>
        <w:t>rs</w:t>
      </w:r>
      <w:r w:rsidRPr="003A2318">
        <w:rPr>
          <w:rFonts w:ascii="PalatinoLinotype-Roman" w:eastAsia="Times New Roman" w:hAnsi="PalatinoLinotype-Roman" w:cs="Times New Roman" w:hint="eastAsia"/>
          <w:color w:val="000000"/>
          <w:szCs w:val="22"/>
        </w:rPr>
        <w:t>ä</w:t>
      </w:r>
      <w:r w:rsidRPr="003A2318">
        <w:rPr>
          <w:rFonts w:ascii="PalatinoLinotype-Roman" w:eastAsia="Times New Roman" w:hAnsi="PalatinoLinotype-Roman" w:cs="Times New Roman"/>
          <w:color w:val="000000"/>
          <w:szCs w:val="22"/>
        </w:rPr>
        <w:t>kringstagare.</w:t>
      </w:r>
      <w:r>
        <w:rPr>
          <w:rFonts w:ascii="PalatinoLinotype-Roman" w:eastAsia="Times New Roman" w:hAnsi="PalatinoLinotype-Roman" w:cs="Times New Roman"/>
          <w:color w:val="000000"/>
          <w:szCs w:val="22"/>
        </w:rPr>
        <w:t xml:space="preserve"> Genom framgångsrik utvecklingsarbete enligt A ovan kan den maximala rättegångskostnaden dels minska dels bli mer förutsättningsbara. Detta ökar möjligheten för en försäkringslösning. </w:t>
      </w:r>
    </w:p>
    <w:p w:rsidR="00BB36B0" w:rsidRDefault="00BB36B0" w:rsidP="00BB36B0">
      <w:pPr>
        <w:rPr>
          <w:rFonts w:ascii="PalatinoLinotype-Roman" w:eastAsia="Times New Roman" w:hAnsi="PalatinoLinotype-Roman" w:cs="Times New Roman"/>
          <w:color w:val="000000"/>
          <w:szCs w:val="22"/>
        </w:rPr>
      </w:pPr>
    </w:p>
    <w:p w:rsidR="00BB36B0" w:rsidRPr="003A2318" w:rsidRDefault="00BB36B0" w:rsidP="00BB36B0">
      <w:pPr>
        <w:rPr>
          <w:rFonts w:ascii="PalatinoLinotype-Roman" w:eastAsia="Times New Roman" w:hAnsi="PalatinoLinotype-Roman" w:cs="Times New Roman"/>
          <w:color w:val="000000"/>
          <w:szCs w:val="22"/>
        </w:rPr>
      </w:pPr>
      <w:r>
        <w:rPr>
          <w:rFonts w:ascii="PalatinoLinotype-Roman" w:eastAsia="Times New Roman" w:hAnsi="PalatinoLinotype-Roman" w:cs="Times New Roman"/>
          <w:color w:val="000000"/>
          <w:szCs w:val="22"/>
        </w:rPr>
        <w:t xml:space="preserve">Det brittiska patentverket har en tjänst, som innebär att beställaren kan få ett yttrande om ett patents giltighet och värde. En liknande tjänst hos PRV, kan också underlätta en försäkringslösning. </w:t>
      </w:r>
    </w:p>
    <w:p w:rsidR="00BB36B0" w:rsidRDefault="00BB36B0" w:rsidP="00BB36B0">
      <w:pPr>
        <w:rPr>
          <w:szCs w:val="22"/>
        </w:rPr>
      </w:pPr>
    </w:p>
    <w:p w:rsidR="00BB36B0" w:rsidRDefault="00BB36B0" w:rsidP="00BB36B0">
      <w:pPr>
        <w:rPr>
          <w:b/>
          <w:szCs w:val="22"/>
        </w:rPr>
      </w:pPr>
      <w:r>
        <w:rPr>
          <w:b/>
          <w:szCs w:val="22"/>
        </w:rPr>
        <w:t>C</w:t>
      </w:r>
    </w:p>
    <w:p w:rsidR="00BB36B0" w:rsidRPr="004243DE" w:rsidRDefault="00BB36B0" w:rsidP="00BB36B0">
      <w:pPr>
        <w:rPr>
          <w:b/>
          <w:szCs w:val="22"/>
        </w:rPr>
      </w:pPr>
      <w:r w:rsidRPr="004243DE">
        <w:rPr>
          <w:b/>
          <w:szCs w:val="22"/>
        </w:rPr>
        <w:t>Upphandling</w:t>
      </w:r>
    </w:p>
    <w:p w:rsidR="00BB36B0" w:rsidRDefault="00BB36B0" w:rsidP="00BB36B0">
      <w:pPr>
        <w:rPr>
          <w:szCs w:val="22"/>
        </w:rPr>
      </w:pPr>
      <w:r>
        <w:rPr>
          <w:szCs w:val="22"/>
        </w:rPr>
        <w:t>Upphandling är ett betydelsefullt instrument vid all innovativ utveckling. Det gäller såväl vid offentlig upphandling via myndigheter, kommuner och landsting som vid affärsmässig industriell utveckling. Upphandling är omgärdat av både nationella och internationella regler. Det är särskilt viktigt att beakta innovatörens och de mindre företagens möjligheter att dels få delta i upphandlingar dels omfattas av ett patenträttsligt skydd. Här brister systemen idag och kompetensen om skyddsfrågor är mycket låg hos de upphandlande parterna. Exempelvis har kommuner och landsting svårt att hantera frågan om de gör patentintrång eller ej, när de genom en upphandling förvärvar ny teknik. En innovationsupphandling kräver dessutom beställarkompetens, utveckling av ny teknik/kompetens, samverkan med och utfästelser om köp från marknaden. Immaterialrättens nyttjande vid olika former av upphandling  bör bli underlag för studier.</w:t>
      </w:r>
    </w:p>
    <w:p w:rsidR="00BB36B0" w:rsidRDefault="00BB36B0" w:rsidP="00BB36B0">
      <w:pPr>
        <w:rPr>
          <w:szCs w:val="22"/>
        </w:rPr>
      </w:pPr>
      <w:r>
        <w:rPr>
          <w:szCs w:val="22"/>
        </w:rPr>
        <w:t xml:space="preserve"> </w:t>
      </w:r>
    </w:p>
    <w:p w:rsidR="00BB36B0" w:rsidRDefault="00BB36B0" w:rsidP="00BB36B0">
      <w:pPr>
        <w:rPr>
          <w:rFonts w:eastAsia="Times New Roman" w:cs="Times New Roman"/>
          <w:b/>
          <w:color w:val="000000"/>
          <w:szCs w:val="22"/>
        </w:rPr>
      </w:pPr>
    </w:p>
    <w:p w:rsidR="00BB36B0" w:rsidRDefault="00BB36B0" w:rsidP="00BB36B0">
      <w:pPr>
        <w:rPr>
          <w:rFonts w:eastAsia="Times New Roman" w:cs="Times New Roman"/>
          <w:b/>
          <w:color w:val="000000"/>
          <w:szCs w:val="22"/>
        </w:rPr>
      </w:pPr>
      <w:r>
        <w:rPr>
          <w:rFonts w:eastAsia="Times New Roman" w:cs="Times New Roman"/>
          <w:b/>
          <w:color w:val="000000"/>
          <w:szCs w:val="22"/>
        </w:rPr>
        <w:br w:type="page"/>
      </w:r>
    </w:p>
    <w:p w:rsidR="00BB36B0" w:rsidRDefault="00BB36B0" w:rsidP="00BB36B0">
      <w:pPr>
        <w:rPr>
          <w:rFonts w:eastAsia="Times New Roman" w:cs="Times New Roman"/>
          <w:b/>
          <w:color w:val="000000"/>
          <w:szCs w:val="22"/>
        </w:rPr>
      </w:pPr>
      <w:r>
        <w:rPr>
          <w:rFonts w:eastAsia="Times New Roman" w:cs="Times New Roman"/>
          <w:b/>
          <w:color w:val="000000"/>
          <w:szCs w:val="22"/>
        </w:rPr>
        <w:lastRenderedPageBreak/>
        <w:t>D</w:t>
      </w:r>
    </w:p>
    <w:p w:rsidR="00BB36B0" w:rsidRDefault="00BB36B0" w:rsidP="00BB36B0">
      <w:pPr>
        <w:rPr>
          <w:rFonts w:eastAsia="Times New Roman" w:cs="Times New Roman"/>
          <w:color w:val="000000"/>
          <w:szCs w:val="22"/>
        </w:rPr>
      </w:pPr>
      <w:r w:rsidRPr="00A17623">
        <w:rPr>
          <w:rFonts w:eastAsia="Times New Roman" w:cs="Times New Roman"/>
          <w:b/>
          <w:color w:val="000000"/>
          <w:szCs w:val="22"/>
        </w:rPr>
        <w:t>Vi vet inte hur det går utanför Sverige för svenska kapitalsvaga aktörer i olika rättssituationer.</w:t>
      </w:r>
      <w:r>
        <w:rPr>
          <w:rFonts w:eastAsia="Times New Roman" w:cs="Times New Roman"/>
          <w:color w:val="000000"/>
          <w:szCs w:val="22"/>
        </w:rPr>
        <w:t xml:space="preserve"> D</w:t>
      </w:r>
      <w:r w:rsidRPr="00BF2A51">
        <w:rPr>
          <w:rFonts w:eastAsia="Times New Roman" w:cs="Times New Roman"/>
          <w:color w:val="000000"/>
          <w:szCs w:val="22"/>
        </w:rPr>
        <w:t xml:space="preserve">et finns indikationer på att det är </w:t>
      </w:r>
      <w:r>
        <w:rPr>
          <w:rFonts w:eastAsia="Times New Roman" w:cs="Times New Roman"/>
          <w:color w:val="000000"/>
          <w:szCs w:val="22"/>
        </w:rPr>
        <w:t xml:space="preserve">en del </w:t>
      </w:r>
      <w:r w:rsidRPr="00BF2A51">
        <w:rPr>
          <w:rFonts w:eastAsia="Times New Roman" w:cs="Times New Roman"/>
          <w:color w:val="000000"/>
          <w:szCs w:val="22"/>
        </w:rPr>
        <w:t xml:space="preserve">problem. Detta gäller både tvister och värdeskapandet. </w:t>
      </w:r>
    </w:p>
    <w:p w:rsidR="00BB36B0" w:rsidRDefault="00BB36B0" w:rsidP="00BB36B0">
      <w:pPr>
        <w:rPr>
          <w:rFonts w:eastAsia="Times New Roman" w:cs="Times New Roman"/>
          <w:color w:val="000000"/>
          <w:szCs w:val="22"/>
        </w:rPr>
      </w:pPr>
    </w:p>
    <w:p w:rsidR="00BB36B0" w:rsidRPr="00290EC4" w:rsidRDefault="00BB36B0" w:rsidP="00BB36B0">
      <w:pPr>
        <w:rPr>
          <w:rFonts w:eastAsia="Times New Roman" w:cs="Times New Roman"/>
          <w:color w:val="000000"/>
          <w:szCs w:val="22"/>
          <w:lang w:val="en-US"/>
        </w:rPr>
      </w:pPr>
      <w:r w:rsidRPr="0087348E">
        <w:rPr>
          <w:rFonts w:eastAsia="Times New Roman" w:cs="Times New Roman"/>
          <w:color w:val="000000"/>
          <w:szCs w:val="22"/>
        </w:rPr>
        <w:t>Kingston-Rapporten</w:t>
      </w:r>
      <w:r>
        <w:rPr>
          <w:rStyle w:val="Fotnotsreferens"/>
          <w:rFonts w:eastAsia="Times New Roman" w:cs="Times New Roman"/>
          <w:color w:val="000000"/>
          <w:szCs w:val="22"/>
        </w:rPr>
        <w:footnoteReference w:id="5"/>
      </w:r>
      <w:r w:rsidRPr="0087348E">
        <w:rPr>
          <w:rFonts w:eastAsia="Times New Roman" w:cs="Times New Roman"/>
          <w:color w:val="000000"/>
          <w:szCs w:val="22"/>
        </w:rPr>
        <w:t xml:space="preserve"> från år 2000 visade att samtliga 600 europeiska</w:t>
      </w:r>
      <w:r>
        <w:rPr>
          <w:rFonts w:eastAsia="Times New Roman" w:cs="Times New Roman"/>
          <w:color w:val="000000"/>
          <w:szCs w:val="22"/>
        </w:rPr>
        <w:t xml:space="preserve"> t</w:t>
      </w:r>
      <w:r w:rsidRPr="0087348E">
        <w:rPr>
          <w:rFonts w:eastAsia="Times New Roman" w:cs="Times New Roman"/>
          <w:color w:val="000000"/>
          <w:szCs w:val="22"/>
        </w:rPr>
        <w:t>eknikföretag, som besvarade enkäten och etablerat affärer i USA hade mötts av</w:t>
      </w:r>
      <w:r>
        <w:rPr>
          <w:rFonts w:eastAsia="Times New Roman" w:cs="Times New Roman"/>
          <w:color w:val="000000"/>
          <w:szCs w:val="22"/>
        </w:rPr>
        <w:t xml:space="preserve"> i</w:t>
      </w:r>
      <w:r w:rsidRPr="0087348E">
        <w:rPr>
          <w:rFonts w:eastAsia="Times New Roman" w:cs="Times New Roman"/>
          <w:color w:val="000000"/>
          <w:szCs w:val="22"/>
        </w:rPr>
        <w:t>mmaterialrättsliga tvistemål av varierande slag. 21% råkade ut för allvarliga ekonomiska</w:t>
      </w:r>
      <w:r>
        <w:rPr>
          <w:rFonts w:eastAsia="Times New Roman" w:cs="Times New Roman"/>
          <w:color w:val="000000"/>
          <w:szCs w:val="22"/>
        </w:rPr>
        <w:t xml:space="preserve"> </w:t>
      </w:r>
      <w:r w:rsidRPr="0087348E">
        <w:rPr>
          <w:rFonts w:eastAsia="Times New Roman" w:cs="Times New Roman"/>
          <w:color w:val="000000"/>
          <w:szCs w:val="22"/>
        </w:rPr>
        <w:t>problem. Hur har det gått för svenska uppfinnare och start-</w:t>
      </w:r>
      <w:proofErr w:type="spellStart"/>
      <w:r w:rsidRPr="0087348E">
        <w:rPr>
          <w:rFonts w:eastAsia="Times New Roman" w:cs="Times New Roman"/>
          <w:color w:val="000000"/>
          <w:szCs w:val="22"/>
        </w:rPr>
        <w:t>up</w:t>
      </w:r>
      <w:proofErr w:type="spellEnd"/>
      <w:r w:rsidRPr="0087348E">
        <w:rPr>
          <w:rFonts w:eastAsia="Times New Roman" w:cs="Times New Roman"/>
          <w:color w:val="000000"/>
          <w:szCs w:val="22"/>
        </w:rPr>
        <w:t>-företag de senaste tio åren i</w:t>
      </w:r>
      <w:r>
        <w:rPr>
          <w:rFonts w:eastAsia="Times New Roman" w:cs="Times New Roman"/>
          <w:color w:val="000000"/>
          <w:szCs w:val="22"/>
        </w:rPr>
        <w:t xml:space="preserve"> </w:t>
      </w:r>
      <w:r w:rsidRPr="0087348E">
        <w:rPr>
          <w:rFonts w:eastAsia="Times New Roman" w:cs="Times New Roman"/>
          <w:color w:val="000000"/>
          <w:szCs w:val="22"/>
        </w:rPr>
        <w:t>USA</w:t>
      </w:r>
      <w:r w:rsidRPr="00B35CF1">
        <w:rPr>
          <w:rFonts w:eastAsia="Times New Roman" w:cs="Times New Roman"/>
          <w:color w:val="000000"/>
          <w:szCs w:val="22"/>
        </w:rPr>
        <w:t xml:space="preserve">? </w:t>
      </w:r>
      <w:r w:rsidRPr="00BB36B0">
        <w:rPr>
          <w:rFonts w:eastAsia="Times New Roman" w:cs="Times New Roman"/>
          <w:color w:val="000000"/>
          <w:szCs w:val="22"/>
          <w:lang w:val="en-US"/>
        </w:rPr>
        <w:t xml:space="preserve">Se </w:t>
      </w:r>
      <w:proofErr w:type="spellStart"/>
      <w:r w:rsidRPr="00BB36B0">
        <w:rPr>
          <w:rFonts w:eastAsia="Times New Roman" w:cs="Times New Roman"/>
          <w:color w:val="000000"/>
          <w:szCs w:val="22"/>
          <w:lang w:val="en-US"/>
        </w:rPr>
        <w:t>exempelvis</w:t>
      </w:r>
      <w:proofErr w:type="spellEnd"/>
      <w:r w:rsidRPr="00BB36B0">
        <w:rPr>
          <w:rFonts w:eastAsia="Times New Roman" w:cs="Times New Roman"/>
          <w:color w:val="000000"/>
          <w:szCs w:val="22"/>
          <w:lang w:val="en-US"/>
        </w:rPr>
        <w:t xml:space="preserve"> den </w:t>
      </w:r>
      <w:proofErr w:type="spellStart"/>
      <w:r w:rsidRPr="00BB36B0">
        <w:rPr>
          <w:rFonts w:eastAsia="Times New Roman" w:cs="Times New Roman"/>
          <w:color w:val="000000"/>
          <w:szCs w:val="22"/>
          <w:lang w:val="en-US"/>
        </w:rPr>
        <w:t>avbrutna</w:t>
      </w:r>
      <w:proofErr w:type="spellEnd"/>
      <w:r w:rsidRPr="00BB36B0">
        <w:rPr>
          <w:rFonts w:eastAsia="Times New Roman" w:cs="Times New Roman"/>
          <w:color w:val="000000"/>
          <w:szCs w:val="22"/>
          <w:lang w:val="en-US"/>
        </w:rPr>
        <w:t xml:space="preserve"> </w:t>
      </w:r>
      <w:proofErr w:type="spellStart"/>
      <w:r w:rsidRPr="00BB36B0">
        <w:rPr>
          <w:rFonts w:eastAsia="Times New Roman" w:cs="Times New Roman"/>
          <w:color w:val="000000"/>
          <w:szCs w:val="22"/>
          <w:lang w:val="en-US"/>
        </w:rPr>
        <w:t>Vinnovastudien</w:t>
      </w:r>
      <w:proofErr w:type="spellEnd"/>
      <w:r w:rsidRPr="00BB36B0">
        <w:rPr>
          <w:rFonts w:eastAsia="Times New Roman" w:cs="Times New Roman"/>
          <w:color w:val="000000"/>
          <w:szCs w:val="22"/>
          <w:lang w:val="en-US"/>
        </w:rPr>
        <w:t xml:space="preserve"> </w:t>
      </w:r>
      <w:proofErr w:type="spellStart"/>
      <w:r w:rsidRPr="00BB36B0">
        <w:rPr>
          <w:rFonts w:eastAsia="Times New Roman" w:cs="Times New Roman"/>
          <w:color w:val="000000"/>
          <w:szCs w:val="22"/>
          <w:lang w:val="en-US"/>
        </w:rPr>
        <w:t>från</w:t>
      </w:r>
      <w:proofErr w:type="spellEnd"/>
      <w:r w:rsidRPr="00BB36B0">
        <w:rPr>
          <w:rFonts w:eastAsia="Times New Roman" w:cs="Times New Roman"/>
          <w:color w:val="000000"/>
          <w:szCs w:val="22"/>
          <w:lang w:val="en-US"/>
        </w:rPr>
        <w:t xml:space="preserve"> </w:t>
      </w:r>
      <w:r w:rsidRPr="007F3591">
        <w:rPr>
          <w:rFonts w:eastAsia="Times New Roman" w:cs="Times New Roman"/>
          <w:color w:val="000000"/>
          <w:szCs w:val="22"/>
          <w:lang w:val="en-US"/>
        </w:rPr>
        <w:t xml:space="preserve">2005 </w:t>
      </w:r>
      <w:r w:rsidRPr="00F629D9">
        <w:rPr>
          <w:rFonts w:eastAsia="Times New Roman" w:cs="Times New Roman"/>
          <w:i/>
          <w:color w:val="000000"/>
          <w:szCs w:val="22"/>
          <w:lang w:val="en-GB"/>
        </w:rPr>
        <w:t>Protection of Swedish Intellectual Propriety in the US.</w:t>
      </w:r>
    </w:p>
    <w:p w:rsidR="00BB36B0" w:rsidRPr="00BF2A51" w:rsidRDefault="00BB36B0" w:rsidP="00BB36B0">
      <w:pPr>
        <w:rPr>
          <w:rFonts w:eastAsia="Times New Roman" w:cs="Times New Roman"/>
          <w:color w:val="000000"/>
          <w:szCs w:val="22"/>
        </w:rPr>
      </w:pPr>
      <w:r w:rsidRPr="0087348E">
        <w:rPr>
          <w:rFonts w:eastAsia="Times New Roman" w:cs="Times New Roman"/>
          <w:color w:val="000000"/>
          <w:szCs w:val="22"/>
        </w:rPr>
        <w:t>Motsvarade fråga avseende Japan, Kina och Europa?</w:t>
      </w:r>
      <w:r>
        <w:rPr>
          <w:rFonts w:eastAsia="Times New Roman" w:cs="Times New Roman"/>
          <w:color w:val="000000"/>
          <w:szCs w:val="22"/>
        </w:rPr>
        <w:t xml:space="preserve"> </w:t>
      </w:r>
      <w:r w:rsidRPr="00BF2A51">
        <w:rPr>
          <w:rFonts w:eastAsia="Times New Roman" w:cs="Times New Roman"/>
          <w:color w:val="000000"/>
          <w:szCs w:val="22"/>
        </w:rPr>
        <w:t xml:space="preserve">Här finns behov av </w:t>
      </w:r>
      <w:r>
        <w:rPr>
          <w:rFonts w:eastAsia="Times New Roman" w:cs="Times New Roman"/>
          <w:color w:val="000000"/>
          <w:szCs w:val="22"/>
        </w:rPr>
        <w:t xml:space="preserve">kartläggningar och </w:t>
      </w:r>
      <w:r w:rsidRPr="00BF2A51">
        <w:rPr>
          <w:rFonts w:eastAsia="Times New Roman" w:cs="Times New Roman"/>
          <w:color w:val="000000"/>
          <w:szCs w:val="22"/>
        </w:rPr>
        <w:t>studier. </w:t>
      </w:r>
    </w:p>
    <w:p w:rsidR="00BB36B0" w:rsidRDefault="00BB36B0" w:rsidP="00BB36B0">
      <w:pPr>
        <w:rPr>
          <w:rFonts w:eastAsia="Times New Roman" w:cs="Times New Roman"/>
          <w:b/>
          <w:color w:val="000000"/>
          <w:szCs w:val="22"/>
        </w:rPr>
      </w:pPr>
    </w:p>
    <w:p w:rsidR="00BB36B0" w:rsidRDefault="00BB36B0" w:rsidP="00BB36B0">
      <w:pPr>
        <w:rPr>
          <w:rFonts w:eastAsia="Times New Roman" w:cs="Times New Roman"/>
          <w:b/>
          <w:color w:val="000000"/>
          <w:sz w:val="28"/>
          <w:szCs w:val="28"/>
        </w:rPr>
      </w:pPr>
      <w:r>
        <w:rPr>
          <w:rFonts w:eastAsia="Times New Roman" w:cs="Times New Roman"/>
          <w:b/>
          <w:color w:val="000000"/>
          <w:szCs w:val="22"/>
        </w:rPr>
        <w:t>E</w:t>
      </w:r>
    </w:p>
    <w:p w:rsidR="00BB36B0" w:rsidRDefault="00BB36B0" w:rsidP="00BB36B0">
      <w:pPr>
        <w:rPr>
          <w:rFonts w:eastAsia="Times New Roman" w:cs="Times New Roman"/>
          <w:color w:val="000000"/>
          <w:szCs w:val="22"/>
        </w:rPr>
      </w:pPr>
      <w:r w:rsidRPr="006349E0">
        <w:rPr>
          <w:rFonts w:eastAsia="Times New Roman" w:cs="Times New Roman"/>
          <w:b/>
          <w:color w:val="000000"/>
          <w:szCs w:val="22"/>
        </w:rPr>
        <w:t>Några uppfinnare väljer sekretessavtal som skyddsform</w:t>
      </w:r>
      <w:r w:rsidRPr="00BF2A51">
        <w:rPr>
          <w:rFonts w:eastAsia="Times New Roman" w:cs="Times New Roman"/>
          <w:color w:val="000000"/>
          <w:szCs w:val="22"/>
        </w:rPr>
        <w:t xml:space="preserve"> och alternativ till </w:t>
      </w:r>
      <w:r>
        <w:rPr>
          <w:rFonts w:eastAsia="Times New Roman" w:cs="Times New Roman"/>
          <w:color w:val="000000"/>
          <w:szCs w:val="22"/>
        </w:rPr>
        <w:t xml:space="preserve">att söka </w:t>
      </w:r>
      <w:r w:rsidRPr="00BF2A51">
        <w:rPr>
          <w:rFonts w:eastAsia="Times New Roman" w:cs="Times New Roman"/>
          <w:color w:val="000000"/>
          <w:szCs w:val="22"/>
        </w:rPr>
        <w:t xml:space="preserve">patent i ett första skede. Detta </w:t>
      </w:r>
      <w:r>
        <w:rPr>
          <w:rFonts w:eastAsia="Times New Roman" w:cs="Times New Roman"/>
          <w:color w:val="000000"/>
          <w:szCs w:val="22"/>
        </w:rPr>
        <w:t xml:space="preserve">handlingsalternativ </w:t>
      </w:r>
      <w:r w:rsidRPr="00BF2A51">
        <w:rPr>
          <w:rFonts w:eastAsia="Times New Roman" w:cs="Times New Roman"/>
          <w:color w:val="000000"/>
          <w:szCs w:val="22"/>
        </w:rPr>
        <w:t xml:space="preserve">är inte väl prövat </w:t>
      </w:r>
      <w:r>
        <w:rPr>
          <w:rFonts w:eastAsia="Times New Roman" w:cs="Times New Roman"/>
          <w:color w:val="000000"/>
          <w:szCs w:val="22"/>
        </w:rPr>
        <w:t>o</w:t>
      </w:r>
      <w:r w:rsidRPr="00BF2A51">
        <w:rPr>
          <w:rFonts w:eastAsia="Times New Roman" w:cs="Times New Roman"/>
          <w:color w:val="000000"/>
          <w:szCs w:val="22"/>
        </w:rPr>
        <w:t>ch dokumenterat</w:t>
      </w:r>
      <w:r>
        <w:rPr>
          <w:rFonts w:eastAsia="Times New Roman" w:cs="Times New Roman"/>
          <w:color w:val="000000"/>
          <w:szCs w:val="22"/>
        </w:rPr>
        <w:t xml:space="preserve"> </w:t>
      </w:r>
      <w:r w:rsidRPr="00BF2A51">
        <w:rPr>
          <w:rFonts w:eastAsia="Times New Roman" w:cs="Times New Roman"/>
          <w:color w:val="000000"/>
          <w:szCs w:val="22"/>
        </w:rPr>
        <w:t>under kontrollerade former</w:t>
      </w:r>
      <w:r>
        <w:rPr>
          <w:rFonts w:eastAsia="Times New Roman" w:cs="Times New Roman"/>
          <w:color w:val="000000"/>
          <w:szCs w:val="22"/>
        </w:rPr>
        <w:t>.</w:t>
      </w:r>
      <w:r w:rsidRPr="00BF2A51">
        <w:rPr>
          <w:rFonts w:eastAsia="Times New Roman" w:cs="Times New Roman"/>
          <w:color w:val="000000"/>
          <w:szCs w:val="22"/>
        </w:rPr>
        <w:t xml:space="preserve"> Här finns utrymme för studier.</w:t>
      </w:r>
    </w:p>
    <w:p w:rsidR="00BB36B0" w:rsidRDefault="00BB36B0" w:rsidP="00BB36B0">
      <w:pPr>
        <w:rPr>
          <w:b/>
          <w:szCs w:val="22"/>
        </w:rPr>
      </w:pPr>
    </w:p>
    <w:p w:rsidR="00BB36B0" w:rsidRPr="001E7C19" w:rsidRDefault="00BB36B0" w:rsidP="00BB36B0">
      <w:pPr>
        <w:rPr>
          <w:b/>
          <w:szCs w:val="22"/>
        </w:rPr>
      </w:pPr>
      <w:r>
        <w:rPr>
          <w:b/>
          <w:szCs w:val="22"/>
        </w:rPr>
        <w:t>F</w:t>
      </w:r>
    </w:p>
    <w:p w:rsidR="00BB36B0" w:rsidRDefault="00BB36B0" w:rsidP="00BB36B0">
      <w:pPr>
        <w:rPr>
          <w:szCs w:val="22"/>
        </w:rPr>
      </w:pPr>
      <w:r w:rsidRPr="006349E0">
        <w:rPr>
          <w:b/>
          <w:szCs w:val="22"/>
        </w:rPr>
        <w:t>Några svenska kunskapsnoder har byggt upp omfattande immaterialrättsliga portföljer</w:t>
      </w:r>
      <w:r w:rsidRPr="0087348E">
        <w:rPr>
          <w:szCs w:val="22"/>
        </w:rPr>
        <w:t>. Är detta modellen för att nå framgång? Här några kända immateria</w:t>
      </w:r>
      <w:r>
        <w:rPr>
          <w:szCs w:val="22"/>
        </w:rPr>
        <w:t>lrätts</w:t>
      </w:r>
      <w:r w:rsidRPr="0087348E">
        <w:rPr>
          <w:szCs w:val="22"/>
        </w:rPr>
        <w:t>kluster; gruppen kring Matthias Uhlén, växtgenetikforskarna i Umeå och Grafen-forskarna.</w:t>
      </w:r>
      <w:r>
        <w:rPr>
          <w:szCs w:val="22"/>
        </w:rPr>
        <w:t xml:space="preserve"> En studie för att kartlägga och ta lärdom av olika immaterialrättskluster</w:t>
      </w:r>
    </w:p>
    <w:p w:rsidR="00BB36B0" w:rsidRPr="0087348E" w:rsidRDefault="00BB36B0" w:rsidP="00BB36B0">
      <w:pPr>
        <w:rPr>
          <w:szCs w:val="22"/>
        </w:rPr>
      </w:pPr>
    </w:p>
    <w:p w:rsidR="00BB36B0" w:rsidRPr="001E7C19" w:rsidRDefault="00BB36B0" w:rsidP="00BB36B0">
      <w:pPr>
        <w:widowControl w:val="0"/>
        <w:autoSpaceDE w:val="0"/>
        <w:autoSpaceDN w:val="0"/>
        <w:adjustRightInd w:val="0"/>
        <w:rPr>
          <w:rFonts w:cs="Palatino Linotype"/>
          <w:b/>
          <w:szCs w:val="22"/>
        </w:rPr>
      </w:pPr>
      <w:r>
        <w:rPr>
          <w:rFonts w:cs="Palatino Linotype"/>
          <w:b/>
          <w:szCs w:val="22"/>
        </w:rPr>
        <w:t>G</w:t>
      </w:r>
    </w:p>
    <w:p w:rsidR="00BB36B0" w:rsidRDefault="00BB36B0" w:rsidP="00BB36B0">
      <w:pPr>
        <w:widowControl w:val="0"/>
        <w:autoSpaceDE w:val="0"/>
        <w:autoSpaceDN w:val="0"/>
        <w:adjustRightInd w:val="0"/>
      </w:pPr>
      <w:r w:rsidRPr="006349E0">
        <w:rPr>
          <w:rFonts w:cs="Palatino Linotype"/>
          <w:b/>
          <w:szCs w:val="22"/>
        </w:rPr>
        <w:t>Hur stor är omfattningen av licenshandeln i Sverige</w:t>
      </w:r>
      <w:r w:rsidRPr="0087348E">
        <w:rPr>
          <w:rFonts w:cs="Palatino Linotype"/>
          <w:szCs w:val="22"/>
        </w:rPr>
        <w:t xml:space="preserve"> vad gäller både nationella och internationella avtal? Ett viktigt särfall är transaktioner mellan uppfinnare eller universitetsforskare å ena sidan och tillverkande företag å andra sidan? Detta är viktigt att jämföra med start-</w:t>
      </w:r>
      <w:proofErr w:type="spellStart"/>
      <w:r w:rsidRPr="0087348E">
        <w:rPr>
          <w:rFonts w:cs="Palatino Linotype"/>
          <w:szCs w:val="22"/>
        </w:rPr>
        <w:t>up</w:t>
      </w:r>
      <w:proofErr w:type="spellEnd"/>
      <w:r w:rsidRPr="0087348E">
        <w:rPr>
          <w:rFonts w:cs="Palatino Linotype"/>
          <w:szCs w:val="22"/>
        </w:rPr>
        <w:t>-verksamheten. Den senare får avsevärt offentligt stöd. Det finns omfattande material från USA, som visar att från de amerikanska universiteten görs det 7,3 kommersialiseringar med hjälp av licensiering på varje start-</w:t>
      </w:r>
      <w:proofErr w:type="spellStart"/>
      <w:r w:rsidRPr="0087348E">
        <w:rPr>
          <w:rFonts w:cs="Palatino Linotype"/>
          <w:szCs w:val="22"/>
        </w:rPr>
        <w:t>up</w:t>
      </w:r>
      <w:proofErr w:type="spellEnd"/>
      <w:r w:rsidRPr="0087348E">
        <w:rPr>
          <w:rFonts w:cs="Palatino Linotype"/>
          <w:szCs w:val="22"/>
        </w:rPr>
        <w:t>.</w:t>
      </w:r>
      <w:r>
        <w:rPr>
          <w:rStyle w:val="Fotnotsreferens"/>
          <w:rFonts w:cs="Palatino Linotype"/>
          <w:szCs w:val="22"/>
        </w:rPr>
        <w:footnoteReference w:id="6"/>
      </w:r>
      <w:r w:rsidRPr="0087348E">
        <w:rPr>
          <w:rFonts w:cs="Palatino Linotype"/>
          <w:szCs w:val="22"/>
        </w:rPr>
        <w:t xml:space="preserve"> Svensk statistik saknas. </w:t>
      </w:r>
      <w:r>
        <w:rPr>
          <w:rFonts w:cs="Palatino Linotype"/>
          <w:szCs w:val="22"/>
        </w:rPr>
        <w:t>En studie för hur</w:t>
      </w:r>
      <w:r w:rsidRPr="0087348E">
        <w:rPr>
          <w:rFonts w:cs="Palatino Linotype"/>
          <w:szCs w:val="22"/>
        </w:rPr>
        <w:t xml:space="preserve"> kompetens och intresse för licensiering </w:t>
      </w:r>
      <w:r>
        <w:rPr>
          <w:rFonts w:cs="Palatino Linotype"/>
          <w:szCs w:val="22"/>
        </w:rPr>
        <w:t xml:space="preserve">kan </w:t>
      </w:r>
      <w:r w:rsidRPr="0087348E">
        <w:rPr>
          <w:rFonts w:cs="Palatino Linotype"/>
          <w:szCs w:val="22"/>
        </w:rPr>
        <w:t>byggas upp inom den svenska stödapparaten?</w:t>
      </w:r>
    </w:p>
    <w:p w:rsidR="00BB36B0" w:rsidRDefault="00BB36B0" w:rsidP="00BB36B0">
      <w:pPr>
        <w:pStyle w:val="Normalwebb"/>
        <w:spacing w:before="0" w:beforeAutospacing="0" w:after="0" w:afterAutospacing="0"/>
        <w:ind w:left="720"/>
        <w:rPr>
          <w:rFonts w:ascii="Palatino Linotype" w:hAnsi="Palatino Linotype"/>
          <w:sz w:val="22"/>
          <w:szCs w:val="22"/>
        </w:rPr>
      </w:pPr>
    </w:p>
    <w:p w:rsidR="00BB36B0" w:rsidRPr="001E7C19" w:rsidRDefault="00BB36B0" w:rsidP="00BB36B0">
      <w:pPr>
        <w:pStyle w:val="Normalwebb"/>
        <w:spacing w:before="0" w:beforeAutospacing="0" w:after="0" w:afterAutospacing="0"/>
        <w:rPr>
          <w:rFonts w:ascii="Palatino Linotype" w:hAnsi="Palatino Linotype"/>
          <w:b/>
          <w:sz w:val="22"/>
          <w:szCs w:val="22"/>
        </w:rPr>
      </w:pPr>
      <w:r>
        <w:rPr>
          <w:rFonts w:ascii="Palatino Linotype" w:hAnsi="Palatino Linotype"/>
          <w:b/>
          <w:sz w:val="22"/>
          <w:szCs w:val="22"/>
        </w:rPr>
        <w:t>H</w:t>
      </w:r>
    </w:p>
    <w:p w:rsidR="00BB36B0" w:rsidRDefault="00BB36B0" w:rsidP="00BB36B0">
      <w:pPr>
        <w:pStyle w:val="Normalwebb"/>
        <w:spacing w:before="0" w:beforeAutospacing="0" w:after="0" w:afterAutospacing="0"/>
        <w:rPr>
          <w:rFonts w:ascii="Palatino Linotype" w:hAnsi="Palatino Linotype"/>
          <w:b/>
          <w:sz w:val="22"/>
          <w:szCs w:val="22"/>
        </w:rPr>
      </w:pPr>
      <w:r>
        <w:rPr>
          <w:rFonts w:ascii="Palatino Linotype" w:hAnsi="Palatino Linotype"/>
          <w:sz w:val="22"/>
          <w:szCs w:val="22"/>
        </w:rPr>
        <w:t xml:space="preserve">Vi vet att många uppfinnare och entreprenörer hamnar i legala tvister med finansiärer, licenstagare och konkurrenter samtidigt som det finns ett flertal mycket lyckade exploateringar av nya affärsidéer. </w:t>
      </w:r>
      <w:r w:rsidRPr="006349E0">
        <w:rPr>
          <w:rFonts w:ascii="Palatino Linotype" w:hAnsi="Palatino Linotype"/>
          <w:b/>
          <w:sz w:val="22"/>
          <w:szCs w:val="22"/>
        </w:rPr>
        <w:t>En studie för att sammanställ</w:t>
      </w:r>
      <w:r>
        <w:rPr>
          <w:rFonts w:ascii="Palatino Linotype" w:hAnsi="Palatino Linotype"/>
          <w:b/>
          <w:sz w:val="22"/>
          <w:szCs w:val="22"/>
        </w:rPr>
        <w:t>a</w:t>
      </w:r>
      <w:r w:rsidRPr="006349E0">
        <w:rPr>
          <w:rFonts w:ascii="Palatino Linotype" w:hAnsi="Palatino Linotype"/>
          <w:b/>
          <w:sz w:val="22"/>
          <w:szCs w:val="22"/>
        </w:rPr>
        <w:t xml:space="preserve"> och försöka finna gemensamma nämnare för de lyckade och de mindre lyckade </w:t>
      </w:r>
      <w:r>
        <w:rPr>
          <w:rFonts w:ascii="Palatino Linotype" w:hAnsi="Palatino Linotype"/>
          <w:b/>
          <w:sz w:val="22"/>
          <w:szCs w:val="22"/>
        </w:rPr>
        <w:t xml:space="preserve">uppgörelserna </w:t>
      </w:r>
      <w:r w:rsidRPr="006349E0">
        <w:rPr>
          <w:rFonts w:ascii="Palatino Linotype" w:hAnsi="Palatino Linotype"/>
          <w:b/>
          <w:sz w:val="22"/>
          <w:szCs w:val="22"/>
        </w:rPr>
        <w:t>är önskvärd.</w:t>
      </w:r>
    </w:p>
    <w:p w:rsidR="00BB36B0" w:rsidRDefault="00BB36B0" w:rsidP="00BB36B0"/>
    <w:p w:rsidR="00BB36B0" w:rsidRPr="003A2318" w:rsidRDefault="00BB36B0" w:rsidP="00BB36B0">
      <w:pPr>
        <w:rPr>
          <w:b/>
          <w:bCs/>
        </w:rPr>
      </w:pPr>
      <w:r>
        <w:rPr>
          <w:b/>
          <w:bCs/>
        </w:rPr>
        <w:t>I</w:t>
      </w:r>
    </w:p>
    <w:p w:rsidR="00BB36B0" w:rsidRPr="003A2318" w:rsidRDefault="00BB36B0" w:rsidP="00BB36B0">
      <w:pPr>
        <w:rPr>
          <w:b/>
          <w:bCs/>
        </w:rPr>
      </w:pPr>
      <w:r w:rsidRPr="00C52CC8">
        <w:t>F</w:t>
      </w:r>
      <w:r w:rsidRPr="00C52CC8">
        <w:rPr>
          <w:rFonts w:hint="eastAsia"/>
        </w:rPr>
        <w:t>ö</w:t>
      </w:r>
      <w:r w:rsidRPr="00C52CC8">
        <w:t xml:space="preserve">reningen </w:t>
      </w:r>
      <w:proofErr w:type="spellStart"/>
      <w:r w:rsidRPr="003A2318">
        <w:rPr>
          <w:i/>
          <w:iCs/>
        </w:rPr>
        <w:t>Womengineer</w:t>
      </w:r>
      <w:proofErr w:type="spellEnd"/>
      <w:r w:rsidRPr="00C52CC8">
        <w:t xml:space="preserve"> har ett uppsatt m</w:t>
      </w:r>
      <w:r w:rsidRPr="00C52CC8">
        <w:rPr>
          <w:rFonts w:hint="eastAsia"/>
        </w:rPr>
        <w:t>å</w:t>
      </w:r>
      <w:r w:rsidRPr="00C52CC8">
        <w:t>l: 2030 ska h</w:t>
      </w:r>
      <w:r w:rsidRPr="00C52CC8">
        <w:rPr>
          <w:rFonts w:hint="eastAsia"/>
        </w:rPr>
        <w:t>ä</w:t>
      </w:r>
      <w:r w:rsidRPr="00C52CC8">
        <w:t>lften av alla som g</w:t>
      </w:r>
      <w:r w:rsidRPr="00C52CC8">
        <w:rPr>
          <w:rFonts w:hint="eastAsia"/>
        </w:rPr>
        <w:t>å</w:t>
      </w:r>
      <w:r w:rsidRPr="00C52CC8">
        <w:t>r ut en ingenj</w:t>
      </w:r>
      <w:r w:rsidRPr="00C52CC8">
        <w:rPr>
          <w:rFonts w:hint="eastAsia"/>
        </w:rPr>
        <w:t>ö</w:t>
      </w:r>
      <w:r w:rsidRPr="00C52CC8">
        <w:t>rsutbildning vara kvinnor. Till det m</w:t>
      </w:r>
      <w:r w:rsidRPr="00C52CC8">
        <w:rPr>
          <w:rFonts w:hint="eastAsia"/>
        </w:rPr>
        <w:t>å</w:t>
      </w:r>
      <w:r w:rsidRPr="00C52CC8">
        <w:t xml:space="preserve">let </w:t>
      </w:r>
      <w:r w:rsidRPr="00C52CC8">
        <w:rPr>
          <w:rFonts w:hint="eastAsia"/>
        </w:rPr>
        <w:t>ä</w:t>
      </w:r>
      <w:r w:rsidRPr="00C52CC8">
        <w:t xml:space="preserve">r det en bra bit kvar, </w:t>
      </w:r>
      <w:r w:rsidRPr="00C52CC8">
        <w:rPr>
          <w:rFonts w:hint="eastAsia"/>
        </w:rPr>
        <w:t>ä</w:t>
      </w:r>
      <w:r w:rsidRPr="00C52CC8">
        <w:t xml:space="preserve">ven om andelen </w:t>
      </w:r>
      <w:r w:rsidRPr="00C52CC8">
        <w:lastRenderedPageBreak/>
        <w:t xml:space="preserve">kvinnor har </w:t>
      </w:r>
      <w:r w:rsidRPr="00C52CC8">
        <w:rPr>
          <w:rFonts w:hint="eastAsia"/>
        </w:rPr>
        <w:t>ö</w:t>
      </w:r>
      <w:r w:rsidRPr="00C52CC8">
        <w:t>kat. Antalet utexaminerade kvinnliga civilingenj</w:t>
      </w:r>
      <w:r w:rsidRPr="00C52CC8">
        <w:rPr>
          <w:rFonts w:hint="eastAsia"/>
        </w:rPr>
        <w:t>ö</w:t>
      </w:r>
      <w:r w:rsidRPr="00C52CC8">
        <w:t>rer var 2018 33 procent. I takt med att antalet kvinnliga civilingenj</w:t>
      </w:r>
      <w:r w:rsidRPr="00C52CC8">
        <w:rPr>
          <w:rFonts w:hint="eastAsia"/>
        </w:rPr>
        <w:t>ö</w:t>
      </w:r>
      <w:r w:rsidRPr="00C52CC8">
        <w:t xml:space="preserve">rer </w:t>
      </w:r>
      <w:r w:rsidRPr="00C52CC8">
        <w:rPr>
          <w:rFonts w:hint="eastAsia"/>
        </w:rPr>
        <w:t>ö</w:t>
      </w:r>
      <w:r w:rsidRPr="00C52CC8">
        <w:t xml:space="preserve">kar </w:t>
      </w:r>
      <w:r w:rsidRPr="00C52CC8">
        <w:rPr>
          <w:rFonts w:hint="eastAsia"/>
        </w:rPr>
        <w:t>ä</w:t>
      </w:r>
      <w:r w:rsidRPr="00C52CC8">
        <w:t>r det</w:t>
      </w:r>
      <w:r w:rsidRPr="00C52CC8">
        <w:rPr>
          <w:rFonts w:eastAsia="Times New Roman"/>
          <w:color w:val="000000"/>
        </w:rPr>
        <w:t xml:space="preserve"> intressant att se på andelen kvinnliga ingenjörer i korrelation till andelen patent. För att utgå ifrån denna korrelation behövs betydligt mer statistik om den enskilde uppfinnaren i allmänhet och kvinnliga enskilda uppfinnare i synnerhet.</w:t>
      </w:r>
      <w:r>
        <w:rPr>
          <w:rFonts w:eastAsia="Times New Roman"/>
          <w:color w:val="000000"/>
        </w:rPr>
        <w:t xml:space="preserve"> </w:t>
      </w:r>
      <w:r w:rsidRPr="003A2318">
        <w:rPr>
          <w:rFonts w:eastAsia="Times New Roman"/>
          <w:b/>
          <w:bCs/>
          <w:color w:val="000000"/>
        </w:rPr>
        <w:t xml:space="preserve">En studie, som visar hur ett utökat antal kvinnliga civilingenjörer positivt kan påverka utvecklingsklimatet samt bidra till utökade intäkter till samhället, vore värdefullt. </w:t>
      </w:r>
    </w:p>
    <w:p w:rsidR="00BB36B0" w:rsidRDefault="00BB36B0" w:rsidP="00BB36B0">
      <w:pPr>
        <w:rPr>
          <w:b/>
          <w:szCs w:val="22"/>
        </w:rPr>
      </w:pPr>
    </w:p>
    <w:p w:rsidR="00BB36B0" w:rsidRPr="003A2318" w:rsidRDefault="00BB36B0" w:rsidP="00BB36B0">
      <w:pPr>
        <w:rPr>
          <w:b/>
          <w:sz w:val="28"/>
          <w:szCs w:val="28"/>
        </w:rPr>
      </w:pPr>
      <w:r>
        <w:rPr>
          <w:b/>
          <w:sz w:val="28"/>
          <w:szCs w:val="28"/>
        </w:rPr>
        <w:t xml:space="preserve">3. </w:t>
      </w:r>
      <w:r w:rsidRPr="003A2318">
        <w:rPr>
          <w:b/>
          <w:sz w:val="28"/>
          <w:szCs w:val="28"/>
        </w:rPr>
        <w:t xml:space="preserve">BAKGRUND: </w:t>
      </w:r>
    </w:p>
    <w:p w:rsidR="00BB36B0" w:rsidRPr="008347DE" w:rsidRDefault="00BB36B0" w:rsidP="00BB36B0">
      <w:pPr>
        <w:rPr>
          <w:b/>
          <w:szCs w:val="22"/>
        </w:rPr>
      </w:pPr>
      <w:r>
        <w:rPr>
          <w:b/>
          <w:szCs w:val="22"/>
        </w:rPr>
        <w:t>NÅGRA AKTUELLA UTREDNINGAR INOM OMRÅDET</w:t>
      </w:r>
    </w:p>
    <w:p w:rsidR="00BB36B0" w:rsidRDefault="00BB36B0" w:rsidP="00BB36B0">
      <w:pPr>
        <w:rPr>
          <w:szCs w:val="22"/>
        </w:rPr>
      </w:pPr>
      <w:r>
        <w:rPr>
          <w:szCs w:val="22"/>
        </w:rPr>
        <w:t>Begreppet d</w:t>
      </w:r>
      <w:r w:rsidRPr="008347DE">
        <w:rPr>
          <w:szCs w:val="22"/>
        </w:rPr>
        <w:t xml:space="preserve">et immateriella värdeskapandet har sedan några år ersatt den tidigare fokuseringen på skyddsfrågor. Detta </w:t>
      </w:r>
      <w:r>
        <w:rPr>
          <w:szCs w:val="22"/>
        </w:rPr>
        <w:t xml:space="preserve">vidgade synsätt </w:t>
      </w:r>
      <w:r w:rsidRPr="008347DE">
        <w:rPr>
          <w:szCs w:val="22"/>
        </w:rPr>
        <w:t xml:space="preserve">är mycket välkommet. </w:t>
      </w:r>
      <w:r>
        <w:rPr>
          <w:szCs w:val="22"/>
        </w:rPr>
        <w:t>R</w:t>
      </w:r>
      <w:r w:rsidRPr="008944D4">
        <w:rPr>
          <w:szCs w:val="22"/>
        </w:rPr>
        <w:t>egeringe</w:t>
      </w:r>
      <w:r>
        <w:rPr>
          <w:szCs w:val="22"/>
        </w:rPr>
        <w:t>n</w:t>
      </w:r>
      <w:r w:rsidRPr="008944D4">
        <w:rPr>
          <w:szCs w:val="22"/>
        </w:rPr>
        <w:t xml:space="preserve"> uppdrog </w:t>
      </w:r>
      <w:r>
        <w:rPr>
          <w:szCs w:val="22"/>
        </w:rPr>
        <w:t xml:space="preserve">2016 åt </w:t>
      </w:r>
      <w:r w:rsidRPr="008944D4">
        <w:rPr>
          <w:szCs w:val="22"/>
        </w:rPr>
        <w:t xml:space="preserve">Vinnova och PRV </w:t>
      </w:r>
      <w:r w:rsidRPr="003A2318">
        <w:rPr>
          <w:b/>
          <w:bCs/>
          <w:szCs w:val="22"/>
        </w:rPr>
        <w:t>att genomföra insatser för kunskapsutveckling och förbättrat offentligt stöd för hantering av immateriella tillgångar</w:t>
      </w:r>
      <w:r w:rsidRPr="008944D4">
        <w:rPr>
          <w:szCs w:val="22"/>
        </w:rPr>
        <w:t xml:space="preserve">, (N2016/02167/IF). Detta arbete skall rapporteras </w:t>
      </w:r>
      <w:r>
        <w:rPr>
          <w:szCs w:val="22"/>
        </w:rPr>
        <w:t>2020-03-15</w:t>
      </w:r>
      <w:r w:rsidRPr="008944D4">
        <w:rPr>
          <w:szCs w:val="22"/>
        </w:rPr>
        <w:t xml:space="preserve">. </w:t>
      </w:r>
    </w:p>
    <w:p w:rsidR="00BB36B0" w:rsidRDefault="00BB36B0" w:rsidP="00BB36B0">
      <w:pPr>
        <w:rPr>
          <w:rFonts w:cs="Palatino Linotype"/>
          <w:szCs w:val="22"/>
        </w:rPr>
      </w:pPr>
    </w:p>
    <w:p w:rsidR="00BB36B0" w:rsidRDefault="00BB36B0" w:rsidP="00BB36B0">
      <w:pPr>
        <w:rPr>
          <w:rFonts w:cs="Palatino Linotype"/>
          <w:szCs w:val="22"/>
        </w:rPr>
      </w:pPr>
      <w:r w:rsidRPr="003A2318">
        <w:rPr>
          <w:b/>
          <w:szCs w:val="22"/>
        </w:rPr>
        <w:t>Patentlagsutredningen</w:t>
      </w:r>
      <w:r w:rsidRPr="00850769">
        <w:rPr>
          <w:bCs/>
          <w:szCs w:val="22"/>
        </w:rPr>
        <w:t xml:space="preserve"> </w:t>
      </w:r>
      <w:r w:rsidRPr="006A47DE">
        <w:rPr>
          <w:bCs/>
          <w:szCs w:val="22"/>
        </w:rPr>
        <w:t>(Ju2015/3556/L39) och</w:t>
      </w:r>
      <w:r w:rsidRPr="002710F9">
        <w:rPr>
          <w:bCs/>
          <w:szCs w:val="22"/>
        </w:rPr>
        <w:t xml:space="preserve"> </w:t>
      </w:r>
      <w:r w:rsidRPr="003A2318">
        <w:rPr>
          <w:b/>
          <w:szCs w:val="22"/>
        </w:rPr>
        <w:t>Tilläggsdirektiv till Patentlagsutredningen</w:t>
      </w:r>
      <w:r w:rsidRPr="009F48C2">
        <w:rPr>
          <w:szCs w:val="22"/>
        </w:rPr>
        <w:t xml:space="preserve"> (Ju 2012:12) Dir. 2014:67 </w:t>
      </w:r>
      <w:r w:rsidRPr="00B16FC1">
        <w:rPr>
          <w:szCs w:val="22"/>
        </w:rPr>
        <w:t>----</w:t>
      </w:r>
      <w:r w:rsidRPr="002710F9">
        <w:rPr>
          <w:szCs w:val="22"/>
        </w:rPr>
        <w:t xml:space="preserve"> Utredaren har present</w:t>
      </w:r>
      <w:r>
        <w:rPr>
          <w:szCs w:val="22"/>
        </w:rPr>
        <w:t>er</w:t>
      </w:r>
      <w:r w:rsidRPr="002710F9">
        <w:rPr>
          <w:szCs w:val="22"/>
        </w:rPr>
        <w:t>at sitt förslag och också till tilläggsdirektivet om kartläggning och analys av tillämpningen av patentlagens straffbestämmelse.</w:t>
      </w:r>
      <w:r w:rsidRPr="00B16FC1">
        <w:rPr>
          <w:szCs w:val="22"/>
        </w:rPr>
        <w:t> </w:t>
      </w:r>
      <w:r>
        <w:rPr>
          <w:szCs w:val="22"/>
        </w:rPr>
        <w:t xml:space="preserve">Detta tilläggsdirektiv syftar till att motverka obalanserna vid rättegångar. Patentlagsutredningen har inte föreslagit någon ändring av gällande regler. </w:t>
      </w:r>
      <w:r>
        <w:rPr>
          <w:rFonts w:cs="Palatino Linotype"/>
          <w:szCs w:val="22"/>
        </w:rPr>
        <w:t>Regeringen har inte presenterat någon proposition i ärendet ej heller någon plan.</w:t>
      </w:r>
    </w:p>
    <w:p w:rsidR="00BB36B0" w:rsidRDefault="00BB36B0" w:rsidP="00BB36B0">
      <w:pPr>
        <w:rPr>
          <w:rFonts w:cs="Palatino Linotype"/>
          <w:szCs w:val="22"/>
        </w:rPr>
      </w:pPr>
    </w:p>
    <w:p w:rsidR="00BB36B0" w:rsidRPr="003A2318" w:rsidRDefault="00BB36B0" w:rsidP="00BB36B0">
      <w:pPr>
        <w:rPr>
          <w:szCs w:val="22"/>
        </w:rPr>
      </w:pPr>
      <w:r w:rsidRPr="003A2318">
        <w:rPr>
          <w:szCs w:val="22"/>
        </w:rPr>
        <w:t xml:space="preserve">Det är sedan 1967 brottsligt att göra patentintrång. Enligt patentlagen krävs ”särskilda skäl” för att åklagaren skall engagerar sig. Dessa skäl är inte preciserade i vare sig i patentlagens förarbeten eller andra utredningar. Inte ett enda fall har gått till rättegång på 52 år. </w:t>
      </w:r>
      <w:r w:rsidRPr="00E021A2">
        <w:rPr>
          <w:szCs w:val="22"/>
        </w:rPr>
        <w:t>Här måste kraven på särskilda skäl preciseras</w:t>
      </w:r>
      <w:r w:rsidRPr="008B617C">
        <w:rPr>
          <w:szCs w:val="22"/>
        </w:rPr>
        <w:t xml:space="preserve"> </w:t>
      </w:r>
    </w:p>
    <w:p w:rsidR="00BB36B0" w:rsidRPr="003A2318" w:rsidRDefault="00BB36B0" w:rsidP="00BB36B0">
      <w:pPr>
        <w:rPr>
          <w:b/>
          <w:bCs/>
          <w:szCs w:val="22"/>
        </w:rPr>
      </w:pPr>
    </w:p>
    <w:p w:rsidR="00BB36B0" w:rsidRDefault="00BB36B0" w:rsidP="00BB36B0">
      <w:pPr>
        <w:rPr>
          <w:szCs w:val="22"/>
        </w:rPr>
      </w:pPr>
      <w:r w:rsidRPr="003A2318">
        <w:rPr>
          <w:b/>
          <w:bCs/>
          <w:szCs w:val="22"/>
        </w:rPr>
        <w:t>Entreprenörskapsutredningen</w:t>
      </w:r>
      <w:r>
        <w:rPr>
          <w:szCs w:val="22"/>
        </w:rPr>
        <w:t xml:space="preserve"> (</w:t>
      </w:r>
      <w:r w:rsidRPr="00337E61">
        <w:rPr>
          <w:szCs w:val="22"/>
        </w:rPr>
        <w:t>SOU 2016:72</w:t>
      </w:r>
      <w:r>
        <w:rPr>
          <w:szCs w:val="22"/>
        </w:rPr>
        <w:t>) uppmärksammade de kapitalsvaga aktörernas svårigheter att bidra till det immateriella värdeskapandet och föreslog en särskild utredning.</w:t>
      </w:r>
    </w:p>
    <w:p w:rsidR="00BB36B0" w:rsidRPr="008944D4" w:rsidRDefault="00BB36B0" w:rsidP="00BB36B0">
      <w:pPr>
        <w:rPr>
          <w:szCs w:val="22"/>
        </w:rPr>
      </w:pPr>
    </w:p>
    <w:p w:rsidR="00BB36B0" w:rsidRPr="00290EC4" w:rsidRDefault="00BB36B0" w:rsidP="00BB36B0">
      <w:pPr>
        <w:rPr>
          <w:szCs w:val="22"/>
        </w:rPr>
      </w:pPr>
      <w:r w:rsidRPr="0022342D">
        <w:rPr>
          <w:szCs w:val="22"/>
        </w:rPr>
        <w:t xml:space="preserve">Utvecklingsarbetet, som pågår inom EU </w:t>
      </w:r>
      <w:r>
        <w:rPr>
          <w:szCs w:val="22"/>
        </w:rPr>
        <w:t xml:space="preserve">benämns </w:t>
      </w:r>
      <w:r w:rsidRPr="003A2318">
        <w:rPr>
          <w:b/>
          <w:bCs/>
          <w:i/>
          <w:szCs w:val="22"/>
        </w:rPr>
        <w:t>Immaterialrätt i de mindre företagens tjänst bidrar till innovation och tillväxt</w:t>
      </w:r>
      <w:r w:rsidRPr="001038C7">
        <w:rPr>
          <w:i/>
          <w:szCs w:val="22"/>
        </w:rPr>
        <w:t>.</w:t>
      </w:r>
      <w:r>
        <w:rPr>
          <w:rStyle w:val="Fotnotsreferens"/>
          <w:szCs w:val="22"/>
        </w:rPr>
        <w:footnoteReference w:id="7"/>
      </w:r>
      <w:r>
        <w:rPr>
          <w:szCs w:val="22"/>
        </w:rPr>
        <w:t xml:space="preserve"> </w:t>
      </w:r>
      <w:r w:rsidRPr="007F3591">
        <w:rPr>
          <w:szCs w:val="22"/>
          <w:lang w:val="en-US"/>
        </w:rPr>
        <w:t xml:space="preserve">I </w:t>
      </w:r>
      <w:proofErr w:type="spellStart"/>
      <w:r w:rsidRPr="00BB36B0">
        <w:rPr>
          <w:szCs w:val="22"/>
          <w:lang w:val="en-US"/>
        </w:rPr>
        <w:t>styrdokumentet</w:t>
      </w:r>
      <w:proofErr w:type="spellEnd"/>
      <w:r w:rsidRPr="00BB36B0">
        <w:rPr>
          <w:szCs w:val="22"/>
          <w:lang w:val="en-US"/>
        </w:rPr>
        <w:t xml:space="preserve"> </w:t>
      </w:r>
      <w:proofErr w:type="spellStart"/>
      <w:r w:rsidRPr="00BB36B0">
        <w:rPr>
          <w:szCs w:val="22"/>
          <w:lang w:val="en-US"/>
        </w:rPr>
        <w:t>slår</w:t>
      </w:r>
      <w:proofErr w:type="spellEnd"/>
      <w:r w:rsidRPr="00BB36B0">
        <w:rPr>
          <w:szCs w:val="22"/>
          <w:lang w:val="en-US"/>
        </w:rPr>
        <w:t xml:space="preserve"> man </w:t>
      </w:r>
      <w:proofErr w:type="spellStart"/>
      <w:r w:rsidRPr="00BB36B0">
        <w:rPr>
          <w:szCs w:val="22"/>
          <w:lang w:val="en-US"/>
        </w:rPr>
        <w:t>bl.a</w:t>
      </w:r>
      <w:proofErr w:type="spellEnd"/>
      <w:r w:rsidRPr="00BB36B0">
        <w:rPr>
          <w:szCs w:val="22"/>
          <w:lang w:val="en-US"/>
        </w:rPr>
        <w:t xml:space="preserve">. fast </w:t>
      </w:r>
      <w:proofErr w:type="spellStart"/>
      <w:r w:rsidRPr="00BB36B0">
        <w:rPr>
          <w:szCs w:val="22"/>
          <w:lang w:val="en-US"/>
        </w:rPr>
        <w:t>att</w:t>
      </w:r>
      <w:proofErr w:type="spellEnd"/>
      <w:r w:rsidRPr="00290EC4">
        <w:rPr>
          <w:szCs w:val="22"/>
          <w:lang w:val="en-US"/>
        </w:rPr>
        <w:t xml:space="preserve"> </w:t>
      </w:r>
      <w:r w:rsidRPr="008347DE">
        <w:rPr>
          <w:i/>
          <w:szCs w:val="22"/>
          <w:lang w:val="en-GB"/>
        </w:rPr>
        <w:t>Small businesses however will not receive the full value of their IP if they cannot enforce them when needed. Evidence suggests that enforcing IP titles is costly and complex, especially for start-ups and SMEs facing large entities.</w:t>
      </w:r>
      <w:r w:rsidRPr="00290EC4">
        <w:rPr>
          <w:szCs w:val="22"/>
          <w:lang w:val="en-US"/>
        </w:rPr>
        <w:t xml:space="preserve"> </w:t>
      </w:r>
      <w:r w:rsidRPr="0022342D">
        <w:rPr>
          <w:szCs w:val="22"/>
        </w:rPr>
        <w:t>Här analyseras bl.a. förslag till försäkringslösningar och nya medlingsformer. Detta arbete sk</w:t>
      </w:r>
      <w:r>
        <w:rPr>
          <w:szCs w:val="22"/>
        </w:rPr>
        <w:t>ulle</w:t>
      </w:r>
      <w:r w:rsidRPr="0022342D">
        <w:rPr>
          <w:szCs w:val="22"/>
        </w:rPr>
        <w:t xml:space="preserve"> rapporteras 2020</w:t>
      </w:r>
      <w:r>
        <w:rPr>
          <w:szCs w:val="22"/>
        </w:rPr>
        <w:t xml:space="preserve"> men är försenad då </w:t>
      </w:r>
      <w:proofErr w:type="spellStart"/>
      <w:r w:rsidRPr="00185CA1">
        <w:rPr>
          <w:szCs w:val="22"/>
        </w:rPr>
        <w:t>Unified</w:t>
      </w:r>
      <w:proofErr w:type="spellEnd"/>
      <w:r w:rsidRPr="007F3591">
        <w:rPr>
          <w:szCs w:val="22"/>
        </w:rPr>
        <w:t xml:space="preserve"> </w:t>
      </w:r>
      <w:r w:rsidRPr="00290EC4">
        <w:rPr>
          <w:szCs w:val="22"/>
        </w:rPr>
        <w:t xml:space="preserve">Patent Court (UPC) </w:t>
      </w:r>
      <w:r w:rsidRPr="00AF5770">
        <w:rPr>
          <w:szCs w:val="22"/>
        </w:rPr>
        <w:t>etablering har</w:t>
      </w:r>
      <w:r w:rsidRPr="00290EC4">
        <w:rPr>
          <w:szCs w:val="22"/>
        </w:rPr>
        <w:t xml:space="preserve"> </w:t>
      </w:r>
      <w:r w:rsidRPr="00AF5770">
        <w:rPr>
          <w:szCs w:val="22"/>
        </w:rPr>
        <w:t>fördröjts av den tyska författningsdomstolen</w:t>
      </w:r>
      <w:r w:rsidRPr="00290EC4">
        <w:rPr>
          <w:szCs w:val="22"/>
        </w:rPr>
        <w:t xml:space="preserve">. </w:t>
      </w:r>
    </w:p>
    <w:p w:rsidR="00BB36B0" w:rsidRPr="00290EC4" w:rsidRDefault="00BB36B0" w:rsidP="00BB36B0">
      <w:pPr>
        <w:rPr>
          <w:szCs w:val="22"/>
        </w:rPr>
      </w:pPr>
    </w:p>
    <w:p w:rsidR="00BB36B0" w:rsidRDefault="00BB36B0" w:rsidP="00BB36B0">
      <w:pPr>
        <w:rPr>
          <w:b/>
          <w:szCs w:val="22"/>
        </w:rPr>
      </w:pPr>
      <w:r w:rsidRPr="003B6CAF">
        <w:rPr>
          <w:color w:val="000000"/>
          <w:szCs w:val="22"/>
        </w:rPr>
        <w:lastRenderedPageBreak/>
        <w:t xml:space="preserve">EUIPO (Europeiska kommissionens avdelning för det immateriella värdeskapande) har </w:t>
      </w:r>
      <w:r>
        <w:rPr>
          <w:color w:val="000000"/>
          <w:szCs w:val="22"/>
        </w:rPr>
        <w:t xml:space="preserve">i juni 2019 </w:t>
      </w:r>
      <w:r w:rsidRPr="003B6CAF">
        <w:rPr>
          <w:color w:val="000000"/>
          <w:szCs w:val="22"/>
        </w:rPr>
        <w:t xml:space="preserve">öppnat en </w:t>
      </w:r>
      <w:r w:rsidRPr="003A2318">
        <w:rPr>
          <w:b/>
          <w:bCs/>
          <w:color w:val="000000"/>
          <w:szCs w:val="22"/>
        </w:rPr>
        <w:t>portal för att rättsinnehavare i medlemsländerna</w:t>
      </w:r>
      <w:r w:rsidRPr="003B6CAF">
        <w:rPr>
          <w:color w:val="000000"/>
          <w:szCs w:val="22"/>
        </w:rPr>
        <w:t xml:space="preserve"> säkert</w:t>
      </w:r>
      <w:r>
        <w:rPr>
          <w:color w:val="000000"/>
          <w:szCs w:val="22"/>
        </w:rPr>
        <w:t xml:space="preserve"> (krypterat)</w:t>
      </w:r>
      <w:r w:rsidRPr="003B6CAF">
        <w:rPr>
          <w:color w:val="000000"/>
          <w:szCs w:val="22"/>
        </w:rPr>
        <w:t xml:space="preserve"> </w:t>
      </w:r>
      <w:r>
        <w:rPr>
          <w:color w:val="000000"/>
          <w:szCs w:val="22"/>
        </w:rPr>
        <w:t xml:space="preserve">skall </w:t>
      </w:r>
      <w:r w:rsidRPr="003B6CAF">
        <w:rPr>
          <w:color w:val="000000"/>
          <w:szCs w:val="22"/>
        </w:rPr>
        <w:t>kunna kommunicera med berörda myndigheter och EUs delegationer utanför Europa.</w:t>
      </w:r>
      <w:r>
        <w:rPr>
          <w:rStyle w:val="Fotnotsreferens"/>
          <w:color w:val="000000"/>
          <w:szCs w:val="22"/>
        </w:rPr>
        <w:footnoteReference w:id="8"/>
      </w:r>
      <w:r>
        <w:rPr>
          <w:rStyle w:val="Fotnotsreferens"/>
          <w:color w:val="000000"/>
          <w:szCs w:val="22"/>
        </w:rPr>
        <w:footnoteReference w:id="9"/>
      </w:r>
    </w:p>
    <w:p w:rsidR="00BB36B0" w:rsidRPr="003B6CAF" w:rsidRDefault="00BB36B0" w:rsidP="00BB36B0">
      <w:pPr>
        <w:rPr>
          <w:color w:val="000000"/>
          <w:szCs w:val="22"/>
        </w:rPr>
      </w:pPr>
    </w:p>
    <w:p w:rsidR="00BB36B0" w:rsidRPr="003A2318" w:rsidRDefault="00BB36B0" w:rsidP="00BB36B0">
      <w:pPr>
        <w:rPr>
          <w:b/>
          <w:szCs w:val="22"/>
        </w:rPr>
      </w:pPr>
      <w:r w:rsidRPr="003A2318">
        <w:rPr>
          <w:b/>
          <w:szCs w:val="22"/>
        </w:rPr>
        <w:t>ATT SKAPA IMMATERIELLA VÄRDEN ÄR INTE UTAN PROBLEM – INTRÅNG OCH PIRATKOPIERING</w:t>
      </w:r>
    </w:p>
    <w:p w:rsidR="00BB36B0" w:rsidRPr="007C3E2D" w:rsidRDefault="00BB36B0" w:rsidP="00BB36B0">
      <w:pPr>
        <w:rPr>
          <w:szCs w:val="22"/>
        </w:rPr>
      </w:pPr>
      <w:r>
        <w:rPr>
          <w:szCs w:val="22"/>
        </w:rPr>
        <w:t xml:space="preserve">EUIPO </w:t>
      </w:r>
      <w:r w:rsidRPr="002A29D8">
        <w:rPr>
          <w:szCs w:val="22"/>
        </w:rPr>
        <w:t>rappo</w:t>
      </w:r>
      <w:r>
        <w:rPr>
          <w:szCs w:val="22"/>
        </w:rPr>
        <w:t>rterar 2019</w:t>
      </w:r>
      <w:r>
        <w:rPr>
          <w:rStyle w:val="Fotnotsreferens"/>
          <w:szCs w:val="22"/>
        </w:rPr>
        <w:footnoteReference w:id="10"/>
      </w:r>
      <w:r w:rsidRPr="002A29D8">
        <w:rPr>
          <w:szCs w:val="22"/>
        </w:rPr>
        <w:t xml:space="preserve"> om stor</w:t>
      </w:r>
      <w:r>
        <w:rPr>
          <w:szCs w:val="22"/>
        </w:rPr>
        <w:t>a</w:t>
      </w:r>
      <w:r w:rsidRPr="002A29D8">
        <w:rPr>
          <w:szCs w:val="22"/>
        </w:rPr>
        <w:t xml:space="preserve"> kostnader </w:t>
      </w:r>
      <w:proofErr w:type="spellStart"/>
      <w:r w:rsidRPr="002A29D8">
        <w:rPr>
          <w:szCs w:val="22"/>
        </w:rPr>
        <w:t>pga</w:t>
      </w:r>
      <w:proofErr w:type="spellEnd"/>
      <w:r w:rsidRPr="002A29D8">
        <w:rPr>
          <w:szCs w:val="22"/>
        </w:rPr>
        <w:t xml:space="preserve"> av kopieringverksamhet</w:t>
      </w:r>
    </w:p>
    <w:p w:rsidR="00BB36B0" w:rsidRPr="002A29D8" w:rsidRDefault="00BB36B0" w:rsidP="00BB36B0">
      <w:pPr>
        <w:pStyle w:val="Normalwebb"/>
        <w:numPr>
          <w:ilvl w:val="1"/>
          <w:numId w:val="1"/>
        </w:numPr>
        <w:rPr>
          <w:rFonts w:ascii="OpenSans" w:hAnsi="OpenSans"/>
          <w:i/>
          <w:color w:val="4C4C4F"/>
          <w:sz w:val="22"/>
          <w:szCs w:val="22"/>
          <w:lang w:val="en-GB"/>
        </w:rPr>
      </w:pPr>
      <w:r w:rsidRPr="002A29D8">
        <w:rPr>
          <w:rFonts w:ascii="OpenSans" w:hAnsi="OpenSans"/>
          <w:i/>
          <w:color w:val="4C4C4F"/>
          <w:sz w:val="22"/>
          <w:szCs w:val="22"/>
          <w:lang w:val="en-GB"/>
        </w:rPr>
        <w:t xml:space="preserve">The volume of counterfeits in trade could be as much as 6.8% of total EU imports, or €121 billion. </w:t>
      </w:r>
    </w:p>
    <w:p w:rsidR="00BB36B0" w:rsidRPr="002A29D8" w:rsidRDefault="00BB36B0" w:rsidP="00BB36B0">
      <w:pPr>
        <w:pStyle w:val="Normalwebb"/>
        <w:numPr>
          <w:ilvl w:val="1"/>
          <w:numId w:val="1"/>
        </w:numPr>
        <w:rPr>
          <w:rFonts w:ascii="OpenSans" w:hAnsi="OpenSans"/>
          <w:i/>
          <w:color w:val="4C4C4F"/>
          <w:sz w:val="22"/>
          <w:szCs w:val="22"/>
          <w:lang w:val="en-GB"/>
        </w:rPr>
      </w:pPr>
      <w:r w:rsidRPr="002A29D8">
        <w:rPr>
          <w:rFonts w:ascii="OpenSans" w:hAnsi="OpenSans"/>
          <w:i/>
          <w:color w:val="4C4C4F"/>
          <w:sz w:val="22"/>
          <w:szCs w:val="22"/>
          <w:lang w:val="en-GB"/>
        </w:rPr>
        <w:t xml:space="preserve">The main producer of counterfeit goods is China, followed by India and Turkey. </w:t>
      </w:r>
    </w:p>
    <w:p w:rsidR="00BB36B0" w:rsidRPr="002A29D8" w:rsidRDefault="00BB36B0" w:rsidP="00BB36B0">
      <w:pPr>
        <w:pStyle w:val="Normalwebb"/>
        <w:numPr>
          <w:ilvl w:val="1"/>
          <w:numId w:val="1"/>
        </w:numPr>
        <w:rPr>
          <w:rFonts w:ascii="OpenSans" w:hAnsi="OpenSans"/>
          <w:i/>
          <w:color w:val="4C4C4F"/>
          <w:sz w:val="22"/>
          <w:szCs w:val="22"/>
          <w:lang w:val="en-GB"/>
        </w:rPr>
      </w:pPr>
      <w:r w:rsidRPr="002A29D8">
        <w:rPr>
          <w:rFonts w:ascii="OpenSans" w:hAnsi="OpenSans"/>
          <w:i/>
          <w:color w:val="4C4C4F"/>
          <w:sz w:val="22"/>
          <w:szCs w:val="22"/>
          <w:lang w:val="en-GB"/>
        </w:rPr>
        <w:t xml:space="preserve">A number of important transit countries have been identified, including Hong Kong, the UAE, Singapore and Panama. </w:t>
      </w:r>
    </w:p>
    <w:p w:rsidR="00BB36B0" w:rsidRPr="002A29D8" w:rsidRDefault="00BB36B0" w:rsidP="00BB36B0">
      <w:pPr>
        <w:pStyle w:val="Normalwebb"/>
        <w:numPr>
          <w:ilvl w:val="1"/>
          <w:numId w:val="1"/>
        </w:numPr>
        <w:rPr>
          <w:rFonts w:ascii="OpenSans" w:hAnsi="OpenSans"/>
          <w:i/>
          <w:color w:val="4C4C4F"/>
          <w:sz w:val="22"/>
          <w:szCs w:val="22"/>
          <w:lang w:val="en-GB"/>
        </w:rPr>
      </w:pPr>
      <w:r w:rsidRPr="002A29D8">
        <w:rPr>
          <w:rFonts w:ascii="OpenSans" w:hAnsi="OpenSans"/>
          <w:i/>
          <w:color w:val="4C4C4F"/>
          <w:sz w:val="22"/>
          <w:szCs w:val="22"/>
          <w:lang w:val="en-GB"/>
        </w:rPr>
        <w:t xml:space="preserve">The direct economic costs to legitimate industries in the EU arising from the presence of counterfeits in the EU marketplace amount to €56 billion per year in lost sales, corresponding to 468,000 jobs. Adding in the knock-on effects on other sectors yields a total sales loss of €92 billion. </w:t>
      </w:r>
    </w:p>
    <w:p w:rsidR="00BB36B0" w:rsidRPr="002A29D8" w:rsidRDefault="00BB36B0" w:rsidP="00BB36B0">
      <w:pPr>
        <w:pStyle w:val="Normalwebb"/>
        <w:numPr>
          <w:ilvl w:val="1"/>
          <w:numId w:val="1"/>
        </w:numPr>
        <w:rPr>
          <w:rFonts w:ascii="OpenSans" w:hAnsi="OpenSans"/>
          <w:i/>
          <w:color w:val="4C4C4F"/>
          <w:sz w:val="22"/>
          <w:szCs w:val="22"/>
          <w:lang w:val="en-GB"/>
        </w:rPr>
      </w:pPr>
      <w:r w:rsidRPr="002A29D8">
        <w:rPr>
          <w:rFonts w:ascii="OpenSans" w:hAnsi="OpenSans"/>
          <w:i/>
          <w:color w:val="4C4C4F"/>
          <w:sz w:val="22"/>
          <w:szCs w:val="22"/>
          <w:lang w:val="en-GB"/>
        </w:rPr>
        <w:t xml:space="preserve">The burden on dealing with IPR infringement is particularly onerous for smaller companies. </w:t>
      </w:r>
    </w:p>
    <w:p w:rsidR="00BB36B0" w:rsidRPr="007F6928" w:rsidRDefault="00BB36B0" w:rsidP="00BB36B0">
      <w:pPr>
        <w:rPr>
          <w:szCs w:val="22"/>
        </w:rPr>
      </w:pPr>
      <w:r w:rsidRPr="007F6928">
        <w:rPr>
          <w:szCs w:val="22"/>
        </w:rPr>
        <w:t>En aktuell rapport från OECD och PRV</w:t>
      </w:r>
      <w:r>
        <w:rPr>
          <w:szCs w:val="22"/>
        </w:rPr>
        <w:t xml:space="preserve"> skriver att </w:t>
      </w:r>
      <w:r>
        <w:rPr>
          <w:rFonts w:cs="Times New Roman"/>
          <w:color w:val="000000"/>
          <w:szCs w:val="22"/>
        </w:rPr>
        <w:t>svenska företag, uppfinnare och entreprenörer förlorar stora belopp pga. piratkopiering</w:t>
      </w:r>
      <w:r>
        <w:rPr>
          <w:rStyle w:val="Fotnotsreferens"/>
          <w:rFonts w:cs="Times New Roman"/>
          <w:color w:val="000000"/>
          <w:szCs w:val="22"/>
        </w:rPr>
        <w:footnoteReference w:id="11"/>
      </w:r>
    </w:p>
    <w:p w:rsidR="00BB36B0" w:rsidRDefault="00BB36B0" w:rsidP="00BB36B0">
      <w:pPr>
        <w:spacing w:after="270"/>
        <w:ind w:left="1304"/>
        <w:rPr>
          <w:rFonts w:cs="Times New Roman"/>
          <w:i/>
          <w:color w:val="000000"/>
          <w:szCs w:val="22"/>
        </w:rPr>
      </w:pPr>
      <w:r w:rsidRPr="009F6F1F">
        <w:rPr>
          <w:rFonts w:cs="Times New Roman"/>
          <w:i/>
          <w:color w:val="000000"/>
          <w:szCs w:val="22"/>
        </w:rPr>
        <w:t>Den totala volymen av de svenska företagens uteblivna försäljning på grund av överträdelser av deras immateriella rättigheter i den globala handeln uppgick till 17,1 miljarder kronor (2 miljarder USD), eller 2,4 % av dessa svenska företags totala försäljning under</w:t>
      </w:r>
      <w:r w:rsidRPr="009F6F1F">
        <w:rPr>
          <w:rFonts w:cs="Times New Roman"/>
          <w:color w:val="000000"/>
          <w:szCs w:val="22"/>
        </w:rPr>
        <w:t xml:space="preserve"> </w:t>
      </w:r>
      <w:r w:rsidRPr="009F6F1F">
        <w:rPr>
          <w:rFonts w:cs="Times New Roman"/>
          <w:i/>
          <w:color w:val="000000"/>
          <w:szCs w:val="22"/>
        </w:rPr>
        <w:t>2016.</w:t>
      </w:r>
    </w:p>
    <w:p w:rsidR="00BB36B0" w:rsidRPr="007B1445" w:rsidRDefault="00BB36B0" w:rsidP="00BB36B0">
      <w:pPr>
        <w:spacing w:after="270"/>
        <w:rPr>
          <w:rFonts w:cs="Times New Roman"/>
          <w:iCs/>
          <w:color w:val="000000"/>
          <w:szCs w:val="22"/>
        </w:rPr>
      </w:pPr>
      <w:r>
        <w:rPr>
          <w:rFonts w:cs="Times New Roman"/>
          <w:iCs/>
          <w:color w:val="000000"/>
          <w:szCs w:val="22"/>
        </w:rPr>
        <w:t xml:space="preserve">Observera att dessa förluster innefattar inte alla de affärsutvecklingsprojekt, som inte realiseras </w:t>
      </w:r>
      <w:proofErr w:type="spellStart"/>
      <w:r>
        <w:rPr>
          <w:rFonts w:cs="Times New Roman"/>
          <w:iCs/>
          <w:color w:val="000000"/>
          <w:szCs w:val="22"/>
        </w:rPr>
        <w:t>pga</w:t>
      </w:r>
      <w:proofErr w:type="spellEnd"/>
      <w:r>
        <w:rPr>
          <w:rFonts w:cs="Times New Roman"/>
          <w:iCs/>
          <w:color w:val="000000"/>
          <w:szCs w:val="22"/>
        </w:rPr>
        <w:t xml:space="preserve"> av det svaga svenska ramverket och den bristande kompetensen hos finansiärer och hos de kapitalsvaga aktörerna. </w:t>
      </w:r>
    </w:p>
    <w:p w:rsidR="00BB36B0" w:rsidRPr="003A2318" w:rsidRDefault="00BB36B0" w:rsidP="00BB36B0">
      <w:pPr>
        <w:rPr>
          <w:b/>
          <w:szCs w:val="22"/>
        </w:rPr>
      </w:pPr>
      <w:r w:rsidRPr="003A2318">
        <w:rPr>
          <w:b/>
          <w:szCs w:val="22"/>
        </w:rPr>
        <w:t xml:space="preserve">IMMATERIELLT VÄRDESKAPANDE OCH DE KAPITALSVAGA AKTÖRERNA </w:t>
      </w:r>
    </w:p>
    <w:p w:rsidR="00BB36B0" w:rsidRDefault="00BB36B0" w:rsidP="00BB36B0">
      <w:r>
        <w:t>E</w:t>
      </w:r>
      <w:r w:rsidRPr="0007583B">
        <w:t xml:space="preserve">n framgångsrik innovationspolitik </w:t>
      </w:r>
      <w:r>
        <w:t xml:space="preserve">och immateriellt värdeskapande </w:t>
      </w:r>
      <w:r w:rsidRPr="0007583B">
        <w:t>bygger på ett väl utvecklat ramverk.</w:t>
      </w:r>
      <w:r>
        <w:rPr>
          <w:rStyle w:val="Fotnotsreferens"/>
        </w:rPr>
        <w:footnoteReference w:id="12"/>
      </w:r>
      <w:r>
        <w:rPr>
          <w:rStyle w:val="Fotnotsreferens"/>
        </w:rPr>
        <w:footnoteReference w:id="13"/>
      </w:r>
      <w:r w:rsidRPr="0007583B">
        <w:t xml:space="preserve"> </w:t>
      </w:r>
      <w:r>
        <w:t>Immaterialrätten och processordningen är centrala delar av detta ramverk.</w:t>
      </w:r>
    </w:p>
    <w:p w:rsidR="00BB36B0" w:rsidRDefault="00BB36B0" w:rsidP="00BB36B0"/>
    <w:p w:rsidR="00BB36B0" w:rsidRDefault="00BB36B0" w:rsidP="00BB36B0">
      <w:r>
        <w:t>De innovativa företagen, uppfinnarna, universitetsforskarna och entreprenörerna bidrar starkt till en ekonomis tillväxt och det immateriella värdeskapandet. Dessa är också de kapitalsvaga aktörerna.</w:t>
      </w:r>
      <w:r>
        <w:rPr>
          <w:rStyle w:val="Fotnotsreferens"/>
          <w:i/>
          <w:szCs w:val="22"/>
          <w:lang w:val="en-GB"/>
        </w:rPr>
        <w:footnoteReference w:id="14"/>
      </w:r>
    </w:p>
    <w:p w:rsidR="00BB36B0" w:rsidRDefault="00BB36B0" w:rsidP="00BB36B0">
      <w:pPr>
        <w:rPr>
          <w:szCs w:val="22"/>
        </w:rPr>
      </w:pPr>
    </w:p>
    <w:p w:rsidR="00BB36B0" w:rsidRDefault="00BB36B0" w:rsidP="00BB36B0">
      <w:r>
        <w:rPr>
          <w:szCs w:val="22"/>
        </w:rPr>
        <w:lastRenderedPageBreak/>
        <w:t>På den innovationspolitiska arenan skiljer man mellan politik för snabbväxande innovativa företag och andra småföretag. Dessa två grupper är beroende av olika förutsättningar. Utmärkande för de innovativa företagen är behov av immateriellt skydd,</w:t>
      </w:r>
      <w:r>
        <w:rPr>
          <w:rStyle w:val="Fotnotsreferens"/>
          <w:szCs w:val="22"/>
        </w:rPr>
        <w:footnoteReference w:id="15"/>
      </w:r>
      <w:r>
        <w:rPr>
          <w:szCs w:val="22"/>
        </w:rPr>
        <w:t xml:space="preserve"> tillgång till kvalificerad personal och riskkapital. </w:t>
      </w:r>
    </w:p>
    <w:p w:rsidR="00BB36B0" w:rsidRPr="00290EC4" w:rsidRDefault="00BB36B0" w:rsidP="00BB36B0">
      <w:pPr>
        <w:rPr>
          <w:i/>
          <w:szCs w:val="22"/>
        </w:rPr>
      </w:pPr>
      <w:r>
        <w:t>Nuvarande ramverk bygger på patenträtten och möjligheten att få eventuella tvister prövade i domstol. Obalanser vid den rättsliga prövningen missgynnar de kapitalsvaga aktörerna</w:t>
      </w:r>
      <w:r w:rsidRPr="006D4316">
        <w:rPr>
          <w:iCs/>
          <w:szCs w:val="22"/>
        </w:rPr>
        <w:t>.</w:t>
      </w:r>
      <w:r w:rsidRPr="006D4316">
        <w:rPr>
          <w:rStyle w:val="Fotnotsreferens"/>
          <w:iCs/>
          <w:szCs w:val="22"/>
          <w:lang w:val="en-GB"/>
        </w:rPr>
        <w:footnoteReference w:id="16"/>
      </w:r>
    </w:p>
    <w:p w:rsidR="00BB36B0" w:rsidRPr="006125FC" w:rsidRDefault="00BB36B0" w:rsidP="00BB36B0">
      <w:pPr>
        <w:ind w:left="1304"/>
        <w:rPr>
          <w:iCs/>
          <w:szCs w:val="22"/>
        </w:rPr>
      </w:pPr>
    </w:p>
    <w:p w:rsidR="00BB36B0" w:rsidRPr="00290EC4" w:rsidRDefault="00BB36B0" w:rsidP="00BB36B0">
      <w:r>
        <w:rPr>
          <w:szCs w:val="22"/>
        </w:rPr>
        <w:t>Osäkerheten om rättegångskostnaderna är en viktig del av obalansen. En annan del är naturligtvis det eventuella skadestånd och andra inskränkningar domslutet kan innebära. För den kapitalsvage blir ju risken relativt sett större.</w:t>
      </w:r>
      <w:r w:rsidRPr="006D4316">
        <w:rPr>
          <w:rStyle w:val="Fotnotsreferens"/>
          <w:rFonts w:cs="Arial"/>
          <w:iCs/>
          <w:szCs w:val="22"/>
          <w:lang w:val="en-GB"/>
        </w:rPr>
        <w:footnoteReference w:id="17"/>
      </w:r>
    </w:p>
    <w:p w:rsidR="00BB36B0" w:rsidRPr="006125FC" w:rsidRDefault="00BB36B0" w:rsidP="00BB36B0">
      <w:pPr>
        <w:pStyle w:val="Normalwebb"/>
        <w:spacing w:before="0" w:beforeAutospacing="0" w:after="0" w:afterAutospacing="0"/>
        <w:ind w:left="1304"/>
        <w:rPr>
          <w:rFonts w:ascii="Palatino Linotype" w:hAnsi="Palatino Linotype" w:cs="Arial"/>
          <w:iCs/>
          <w:sz w:val="22"/>
          <w:szCs w:val="22"/>
        </w:rPr>
      </w:pPr>
    </w:p>
    <w:p w:rsidR="00BB36B0" w:rsidRDefault="00BB36B0" w:rsidP="00BB36B0">
      <w:pPr>
        <w:rPr>
          <w:b/>
          <w:szCs w:val="22"/>
        </w:rPr>
      </w:pPr>
      <w:r>
        <w:rPr>
          <w:szCs w:val="22"/>
        </w:rPr>
        <w:t>För de patent vars uppskattade värde är högt är risken för intrång högre än för andra patent</w:t>
      </w:r>
      <w:r w:rsidRPr="006D4316">
        <w:rPr>
          <w:iCs/>
          <w:szCs w:val="22"/>
        </w:rPr>
        <w:t>.</w:t>
      </w:r>
      <w:r w:rsidRPr="006D4316">
        <w:rPr>
          <w:rStyle w:val="Fotnotsreferens"/>
          <w:iCs/>
          <w:szCs w:val="22"/>
          <w:lang w:val="en-GB"/>
        </w:rPr>
        <w:footnoteReference w:id="18"/>
      </w:r>
      <w:r w:rsidRPr="00290EC4">
        <w:rPr>
          <w:i/>
          <w:szCs w:val="22"/>
        </w:rPr>
        <w:t xml:space="preserve"> </w:t>
      </w:r>
    </w:p>
    <w:p w:rsidR="00BB36B0" w:rsidRDefault="00BB36B0" w:rsidP="00BB36B0">
      <w:pPr>
        <w:rPr>
          <w:szCs w:val="22"/>
        </w:rPr>
      </w:pPr>
    </w:p>
    <w:p w:rsidR="00BB36B0" w:rsidRPr="008076AE" w:rsidRDefault="00BB36B0" w:rsidP="00BB36B0">
      <w:pPr>
        <w:rPr>
          <w:b/>
          <w:szCs w:val="22"/>
        </w:rPr>
      </w:pPr>
      <w:r w:rsidRPr="008076AE">
        <w:rPr>
          <w:b/>
          <w:szCs w:val="22"/>
        </w:rPr>
        <w:t>RÄTTEGÅNGSKOSTNADER - EN STÖRRE SVENSK STUDIE</w:t>
      </w:r>
    </w:p>
    <w:p w:rsidR="00BB36B0" w:rsidRPr="001B11EF" w:rsidRDefault="00BB36B0" w:rsidP="00BB36B0">
      <w:pPr>
        <w:rPr>
          <w:szCs w:val="22"/>
        </w:rPr>
      </w:pPr>
      <w:r w:rsidRPr="001B11EF">
        <w:rPr>
          <w:szCs w:val="22"/>
        </w:rPr>
        <w:t xml:space="preserve">En större studie </w:t>
      </w:r>
      <w:r>
        <w:rPr>
          <w:szCs w:val="22"/>
        </w:rPr>
        <w:t>ö</w:t>
      </w:r>
      <w:r w:rsidRPr="001B11EF">
        <w:rPr>
          <w:szCs w:val="22"/>
        </w:rPr>
        <w:t>ver rättegångsko</w:t>
      </w:r>
      <w:r w:rsidRPr="006A681E">
        <w:rPr>
          <w:szCs w:val="22"/>
        </w:rPr>
        <w:t>stnade</w:t>
      </w:r>
      <w:r>
        <w:rPr>
          <w:szCs w:val="22"/>
        </w:rPr>
        <w:t>rna visar deras stora betydelse i S</w:t>
      </w:r>
      <w:r w:rsidRPr="006A681E">
        <w:rPr>
          <w:szCs w:val="22"/>
        </w:rPr>
        <w:t>verige</w:t>
      </w:r>
      <w:r>
        <w:rPr>
          <w:szCs w:val="22"/>
        </w:rPr>
        <w:t>. Denna</w:t>
      </w:r>
      <w:r w:rsidRPr="006A681E">
        <w:rPr>
          <w:szCs w:val="22"/>
        </w:rPr>
        <w:t xml:space="preserve"> har nyligen publicerats.</w:t>
      </w:r>
      <w:r>
        <w:rPr>
          <w:rStyle w:val="Fotnotsreferens"/>
          <w:szCs w:val="22"/>
        </w:rPr>
        <w:footnoteReference w:id="19"/>
      </w:r>
      <w:r>
        <w:rPr>
          <w:szCs w:val="22"/>
        </w:rPr>
        <w:t>Avhandling gäller civilmål och inte immaterialrättsmål särskilt.</w:t>
      </w:r>
    </w:p>
    <w:p w:rsidR="00BB36B0" w:rsidRDefault="00BB36B0" w:rsidP="00BB36B0">
      <w:pPr>
        <w:rPr>
          <w:iCs/>
        </w:rPr>
      </w:pPr>
      <w:r>
        <w:t>Henrik Bellander säger ”</w:t>
      </w:r>
      <w:r w:rsidRPr="001B11EF">
        <w:rPr>
          <w:i/>
        </w:rPr>
        <w:t xml:space="preserve">För parterna handlar tvisten ofta lika mycket om att hantera </w:t>
      </w:r>
      <w:r w:rsidRPr="002E1CBF">
        <w:rPr>
          <w:i/>
          <w:iCs/>
        </w:rPr>
        <w:t>risken</w:t>
      </w:r>
      <w:r w:rsidRPr="001A3C27">
        <w:rPr>
          <w:i/>
          <w:iCs/>
        </w:rPr>
        <w:t xml:space="preserve"> </w:t>
      </w:r>
      <w:r w:rsidRPr="002E1CBF">
        <w:rPr>
          <w:i/>
          <w:iCs/>
        </w:rPr>
        <w:t xml:space="preserve">för rättegångskostnader </w:t>
      </w:r>
      <w:r w:rsidRPr="001B11EF">
        <w:rPr>
          <w:i/>
        </w:rPr>
        <w:t xml:space="preserve">som om det man tvister om i sak... </w:t>
      </w:r>
      <w:r w:rsidRPr="006F140E">
        <w:rPr>
          <w:iCs/>
        </w:rPr>
        <w:t>”</w:t>
      </w:r>
      <w:r w:rsidRPr="006F140E">
        <w:rPr>
          <w:rStyle w:val="Fotnotsreferens"/>
          <w:iCs/>
        </w:rPr>
        <w:footnoteReference w:id="20"/>
      </w:r>
    </w:p>
    <w:p w:rsidR="00BB36B0" w:rsidRDefault="00BB36B0" w:rsidP="00BB36B0">
      <w:pPr>
        <w:rPr>
          <w:iCs/>
        </w:rPr>
      </w:pPr>
    </w:p>
    <w:p w:rsidR="00BB36B0" w:rsidRPr="006F140E" w:rsidRDefault="00BB36B0" w:rsidP="00BB36B0">
      <w:pPr>
        <w:rPr>
          <w:iCs/>
        </w:rPr>
      </w:pPr>
      <w:r>
        <w:rPr>
          <w:iCs/>
        </w:rPr>
        <w:t>Vid patenträttegångar händer det att den väletablerade parten anlitar fem jurister, som också deltar i huvudförhandlingen. Den kapitalsvage aktören har svårt att bekosta en jurist, som ombud i</w:t>
      </w:r>
      <w:r>
        <w:rPr>
          <w:iCs/>
        </w:rPr>
        <w:t xml:space="preserve"> </w:t>
      </w:r>
      <w:r>
        <w:rPr>
          <w:iCs/>
        </w:rPr>
        <w:t xml:space="preserve">avkunnade domar framgår att enstaka domare är kritiska mot denna ordning. </w:t>
      </w:r>
    </w:p>
    <w:p w:rsidR="00BB36B0" w:rsidRDefault="00BB36B0" w:rsidP="00BB36B0"/>
    <w:p w:rsidR="00BB36B0" w:rsidRPr="00B62EE6" w:rsidRDefault="00BB36B0" w:rsidP="00BB36B0">
      <w:pPr>
        <w:rPr>
          <w:b/>
          <w:szCs w:val="22"/>
        </w:rPr>
      </w:pPr>
      <w:r w:rsidRPr="00B62EE6">
        <w:rPr>
          <w:b/>
          <w:szCs w:val="22"/>
        </w:rPr>
        <w:t xml:space="preserve">DE KAPITALSVAGA AKTÖRERNA </w:t>
      </w:r>
      <w:r w:rsidRPr="00BB36B0">
        <w:rPr>
          <w:b/>
          <w:szCs w:val="22"/>
        </w:rPr>
        <w:t xml:space="preserve">OCH </w:t>
      </w:r>
      <w:proofErr w:type="spellStart"/>
      <w:r w:rsidRPr="00BB36B0">
        <w:rPr>
          <w:b/>
          <w:szCs w:val="22"/>
        </w:rPr>
        <w:t>UNIFIED</w:t>
      </w:r>
      <w:proofErr w:type="spellEnd"/>
      <w:r w:rsidRPr="003A2318">
        <w:rPr>
          <w:b/>
          <w:szCs w:val="22"/>
        </w:rPr>
        <w:t xml:space="preserve"> PATENT COURT (UPC), </w:t>
      </w:r>
    </w:p>
    <w:p w:rsidR="00BB36B0" w:rsidRDefault="00BB36B0" w:rsidP="00BB36B0">
      <w:pPr>
        <w:rPr>
          <w:szCs w:val="22"/>
        </w:rPr>
      </w:pPr>
      <w:r>
        <w:t>Patentprocessen har en central roll i ramverket för det immateriella värdeskapandet, men har en undanskymd roll i den svenska debatten. På senare år har enbart en studie av förhållandena publicerats. Den behandlar olika tidsutdräkter i patentprocessen vilket har haft stor betydelse för debatten.</w:t>
      </w:r>
      <w:r>
        <w:rPr>
          <w:rStyle w:val="Fotnotsreferens"/>
        </w:rPr>
        <w:footnoteReference w:id="21"/>
      </w:r>
      <w:r>
        <w:t xml:space="preserve">  Det är viktigt att påpeka att alla tvister inom detta område styrs av svensk rätt, när intrånget skett i Sverige - i synnerhet patentlagen och rättegångs-balken. För tvister, som gäller EPO-patent kommer dock det svenska systemet att ersättas av </w:t>
      </w:r>
      <w:proofErr w:type="spellStart"/>
      <w:r w:rsidRPr="007F3591">
        <w:rPr>
          <w:szCs w:val="22"/>
        </w:rPr>
        <w:t>Unified</w:t>
      </w:r>
      <w:proofErr w:type="spellEnd"/>
      <w:r w:rsidRPr="007F3591">
        <w:rPr>
          <w:szCs w:val="22"/>
        </w:rPr>
        <w:t xml:space="preserve"> </w:t>
      </w:r>
      <w:r w:rsidRPr="005425A1">
        <w:rPr>
          <w:szCs w:val="22"/>
        </w:rPr>
        <w:t xml:space="preserve">Patent Court (UPC), </w:t>
      </w:r>
      <w:r w:rsidRPr="00C47027">
        <w:rPr>
          <w:szCs w:val="22"/>
        </w:rPr>
        <w:t>när</w:t>
      </w:r>
      <w:r w:rsidRPr="003B6CAF">
        <w:rPr>
          <w:szCs w:val="22"/>
        </w:rPr>
        <w:t xml:space="preserve"> denna domstol</w:t>
      </w:r>
      <w:r>
        <w:rPr>
          <w:szCs w:val="22"/>
        </w:rPr>
        <w:t>sordning</w:t>
      </w:r>
      <w:r w:rsidRPr="005425A1">
        <w:rPr>
          <w:szCs w:val="22"/>
        </w:rPr>
        <w:t xml:space="preserve"> </w:t>
      </w:r>
      <w:r>
        <w:rPr>
          <w:szCs w:val="22"/>
        </w:rPr>
        <w:t xml:space="preserve">etableras och när det kommer att ske är ovisst. De nationella, svenska, rättegångsreglerna kommer emellertid även framdeles att tillämpas för mål som gäller svenska patent även efter det att UPC införts. För många rättsinnehavare, som inte agerar internationellt eller enbart i ett fåtal länder kommer inte UPC att påverka dem. För andra som är verksamma i många länder kommer UPC att ha </w:t>
      </w:r>
      <w:r>
        <w:rPr>
          <w:szCs w:val="22"/>
        </w:rPr>
        <w:lastRenderedPageBreak/>
        <w:t>synnerligen positiva effekter. Trots att UPC kommer att ha mycket positiva effekter för många löser det på intet vis problemen för samtliga svenska aktörer. Mao kravet på översyn av den svenska rättegångsordningen påverkas inte av UPC.</w:t>
      </w:r>
    </w:p>
    <w:p w:rsidR="00BB36B0" w:rsidRDefault="00BB36B0" w:rsidP="00BB36B0">
      <w:pPr>
        <w:rPr>
          <w:b/>
        </w:rPr>
      </w:pPr>
    </w:p>
    <w:p w:rsidR="00BB36B0" w:rsidRDefault="00BB36B0" w:rsidP="00BB36B0">
      <w:r w:rsidRPr="008076AE">
        <w:rPr>
          <w:b/>
          <w:szCs w:val="22"/>
        </w:rPr>
        <w:t>SVENSKA SÄRDRAG</w:t>
      </w:r>
    </w:p>
    <w:p w:rsidR="00BB36B0" w:rsidRPr="00166C3A" w:rsidRDefault="00BB36B0" w:rsidP="00BB36B0">
      <w:r>
        <w:t>I Sverige är antalet enskilda och mindre</w:t>
      </w:r>
      <w:r w:rsidRPr="00C664AF">
        <w:t xml:space="preserve"> företag</w:t>
      </w:r>
      <w:r>
        <w:t>, som stämmer eller stäms i samband med patenttvister synnerligen få i ett europeiskt perspektiv. Medeltalet är sju per år.</w:t>
      </w:r>
      <w:r>
        <w:rPr>
          <w:rStyle w:val="Fotnotsreferens"/>
        </w:rPr>
        <w:footnoteReference w:id="22"/>
      </w:r>
      <w:r>
        <w:t xml:space="preserve"> För att göra denna siffra jämförbar med andra länder har vi räknat ut antalet ärenden som når rätten och dels baserat dem på befolkningen dels på 1000 beviljade EPO patent i landet.</w:t>
      </w:r>
      <w:r>
        <w:rPr>
          <w:rStyle w:val="Fotnotsreferens"/>
        </w:rPr>
        <w:footnoteReference w:id="23"/>
      </w:r>
      <w:r>
        <w:rPr>
          <w:rStyle w:val="Fotnotsreferens"/>
        </w:rPr>
        <w:footnoteReference w:id="24"/>
      </w:r>
      <w:r>
        <w:rPr>
          <w:rStyle w:val="Fotnotsreferens"/>
        </w:rPr>
        <w:footnoteReference w:id="25"/>
      </w:r>
    </w:p>
    <w:p w:rsidR="00BB36B0" w:rsidRDefault="00BB36B0" w:rsidP="00BB36B0">
      <w:pPr>
        <w:rPr>
          <w:b/>
        </w:rPr>
      </w:pPr>
    </w:p>
    <w:p w:rsidR="00BB36B0" w:rsidRDefault="00BB36B0" w:rsidP="00BB36B0">
      <w:r w:rsidRPr="00514AC4">
        <w:rPr>
          <w:b/>
        </w:rPr>
        <w:t xml:space="preserve">Tabell </w:t>
      </w:r>
      <w:r>
        <w:rPr>
          <w:b/>
        </w:rPr>
        <w:t>1</w:t>
      </w:r>
    </w:p>
    <w:p w:rsidR="00BB36B0" w:rsidRDefault="00BB36B0" w:rsidP="00BB36B0">
      <w:pPr>
        <w:rPr>
          <w:rFonts w:cs="Helvetica"/>
          <w:b/>
          <w:color w:val="000000"/>
          <w:szCs w:val="22"/>
        </w:rPr>
      </w:pPr>
      <w:r w:rsidRPr="003B6CAF">
        <w:rPr>
          <w:rFonts w:cs="Helvetica"/>
          <w:b/>
          <w:color w:val="000000"/>
          <w:szCs w:val="22"/>
        </w:rPr>
        <w:t xml:space="preserve">Antal mindre företag, som involverade i en patenttvist som blir ett ärende vid en domstol </w:t>
      </w:r>
    </w:p>
    <w:p w:rsidR="00BB36B0" w:rsidRPr="00A47AB4" w:rsidRDefault="00BB36B0" w:rsidP="00BB36B0">
      <w:pPr>
        <w:rPr>
          <w:rFonts w:cs="Helvetica"/>
          <w:b/>
          <w:color w:val="000000"/>
          <w:szCs w:val="22"/>
        </w:rPr>
      </w:pPr>
      <w:r>
        <w:rPr>
          <w:rFonts w:cs="Helvetica"/>
          <w:b/>
          <w:color w:val="000000"/>
          <w:szCs w:val="22"/>
        </w:rPr>
        <w:t>Studier för åren 2000-2008</w:t>
      </w:r>
    </w:p>
    <w:tbl>
      <w:tblPr>
        <w:tblStyle w:val="Tabellrutnt"/>
        <w:tblW w:w="0" w:type="auto"/>
        <w:tblLook w:val="04A0" w:firstRow="1" w:lastRow="0" w:firstColumn="1" w:lastColumn="0" w:noHBand="0" w:noVBand="1"/>
      </w:tblPr>
      <w:tblGrid>
        <w:gridCol w:w="6232"/>
        <w:gridCol w:w="611"/>
        <w:gridCol w:w="566"/>
        <w:gridCol w:w="505"/>
        <w:gridCol w:w="644"/>
      </w:tblGrid>
      <w:tr w:rsidR="00BB36B0" w:rsidTr="003A2318">
        <w:tc>
          <w:tcPr>
            <w:tcW w:w="6232" w:type="dxa"/>
          </w:tcPr>
          <w:p w:rsidR="00BB36B0" w:rsidRPr="007F3591" w:rsidRDefault="00BB36B0" w:rsidP="003A2318">
            <w:pPr>
              <w:rPr>
                <w:sz w:val="20"/>
                <w:szCs w:val="20"/>
              </w:rPr>
            </w:pPr>
            <w:r w:rsidRPr="007F3591">
              <w:rPr>
                <w:sz w:val="20"/>
                <w:szCs w:val="20"/>
              </w:rPr>
              <w:t>Land</w:t>
            </w:r>
          </w:p>
        </w:tc>
        <w:tc>
          <w:tcPr>
            <w:tcW w:w="601" w:type="dxa"/>
          </w:tcPr>
          <w:p w:rsidR="00BB36B0" w:rsidRPr="007F3591" w:rsidRDefault="00BB36B0" w:rsidP="003A2318">
            <w:pPr>
              <w:rPr>
                <w:sz w:val="20"/>
                <w:szCs w:val="20"/>
              </w:rPr>
            </w:pPr>
            <w:r w:rsidRPr="007F3591">
              <w:rPr>
                <w:sz w:val="20"/>
                <w:szCs w:val="20"/>
              </w:rPr>
              <w:t>GE</w:t>
            </w:r>
            <w:r>
              <w:rPr>
                <w:rStyle w:val="Fotnotsreferens"/>
                <w:sz w:val="20"/>
                <w:szCs w:val="20"/>
              </w:rPr>
              <w:footnoteReference w:id="26"/>
            </w:r>
          </w:p>
        </w:tc>
        <w:tc>
          <w:tcPr>
            <w:tcW w:w="0" w:type="auto"/>
          </w:tcPr>
          <w:p w:rsidR="00BB36B0" w:rsidRPr="007F3591" w:rsidRDefault="00BB36B0" w:rsidP="003A2318">
            <w:pPr>
              <w:rPr>
                <w:sz w:val="20"/>
                <w:szCs w:val="20"/>
              </w:rPr>
            </w:pPr>
            <w:r w:rsidRPr="007F3591">
              <w:rPr>
                <w:sz w:val="20"/>
                <w:szCs w:val="20"/>
              </w:rPr>
              <w:t>FR</w:t>
            </w:r>
          </w:p>
        </w:tc>
        <w:tc>
          <w:tcPr>
            <w:tcW w:w="0" w:type="auto"/>
          </w:tcPr>
          <w:p w:rsidR="00BB36B0" w:rsidRPr="007F3591" w:rsidRDefault="00BB36B0" w:rsidP="003A2318">
            <w:pPr>
              <w:rPr>
                <w:sz w:val="20"/>
                <w:szCs w:val="20"/>
              </w:rPr>
            </w:pPr>
            <w:r w:rsidRPr="007F3591">
              <w:rPr>
                <w:sz w:val="20"/>
                <w:szCs w:val="20"/>
              </w:rPr>
              <w:t>NL</w:t>
            </w:r>
          </w:p>
        </w:tc>
        <w:tc>
          <w:tcPr>
            <w:tcW w:w="0" w:type="auto"/>
          </w:tcPr>
          <w:p w:rsidR="00BB36B0" w:rsidRPr="007F3591" w:rsidRDefault="00BB36B0" w:rsidP="003A2318">
            <w:pPr>
              <w:rPr>
                <w:sz w:val="20"/>
                <w:szCs w:val="20"/>
              </w:rPr>
            </w:pPr>
            <w:proofErr w:type="spellStart"/>
            <w:r w:rsidRPr="007F3591">
              <w:rPr>
                <w:sz w:val="20"/>
                <w:szCs w:val="20"/>
              </w:rPr>
              <w:t>SWE</w:t>
            </w:r>
            <w:proofErr w:type="spellEnd"/>
          </w:p>
        </w:tc>
      </w:tr>
      <w:tr w:rsidR="00BB36B0" w:rsidTr="003A2318">
        <w:tc>
          <w:tcPr>
            <w:tcW w:w="6232" w:type="dxa"/>
          </w:tcPr>
          <w:p w:rsidR="00BB36B0" w:rsidRPr="004531AD" w:rsidRDefault="00BB36B0" w:rsidP="003A2318">
            <w:pPr>
              <w:rPr>
                <w:rFonts w:cs="Helvetica"/>
                <w:color w:val="000000"/>
                <w:sz w:val="20"/>
                <w:szCs w:val="20"/>
              </w:rPr>
            </w:pPr>
            <w:r w:rsidRPr="004531AD">
              <w:rPr>
                <w:rFonts w:cs="Helvetica"/>
                <w:color w:val="000000"/>
                <w:sz w:val="20"/>
                <w:szCs w:val="20"/>
              </w:rPr>
              <w:t xml:space="preserve">Antal mindre företag, som involverade </w:t>
            </w:r>
          </w:p>
          <w:p w:rsidR="00BB36B0" w:rsidRPr="004C6A84" w:rsidRDefault="00BB36B0" w:rsidP="003A2318">
            <w:pPr>
              <w:rPr>
                <w:rFonts w:cs="Helvetica"/>
                <w:color w:val="000000"/>
                <w:sz w:val="20"/>
                <w:szCs w:val="20"/>
              </w:rPr>
            </w:pPr>
            <w:r w:rsidRPr="004C6A84">
              <w:rPr>
                <w:rFonts w:cs="Helvetica"/>
                <w:color w:val="000000"/>
                <w:sz w:val="20"/>
                <w:szCs w:val="20"/>
              </w:rPr>
              <w:t xml:space="preserve">i en patenttvist som blir ett ärende vid </w:t>
            </w:r>
          </w:p>
          <w:p w:rsidR="00BB36B0" w:rsidRPr="004531AD" w:rsidRDefault="00BB36B0" w:rsidP="003A2318">
            <w:pPr>
              <w:rPr>
                <w:sz w:val="20"/>
                <w:szCs w:val="20"/>
              </w:rPr>
            </w:pPr>
            <w:r w:rsidRPr="004531AD">
              <w:rPr>
                <w:rFonts w:cs="Helvetica"/>
                <w:color w:val="000000"/>
                <w:sz w:val="20"/>
                <w:szCs w:val="20"/>
              </w:rPr>
              <w:t>en domstol per år</w:t>
            </w:r>
          </w:p>
        </w:tc>
        <w:tc>
          <w:tcPr>
            <w:tcW w:w="601" w:type="dxa"/>
          </w:tcPr>
          <w:p w:rsidR="00BB36B0" w:rsidRPr="007F3591" w:rsidRDefault="00BB36B0" w:rsidP="003A2318">
            <w:pPr>
              <w:jc w:val="right"/>
              <w:rPr>
                <w:sz w:val="20"/>
                <w:szCs w:val="20"/>
              </w:rPr>
            </w:pPr>
            <w:r w:rsidRPr="007F3591">
              <w:rPr>
                <w:sz w:val="20"/>
                <w:szCs w:val="20"/>
              </w:rPr>
              <w:t>407</w:t>
            </w:r>
          </w:p>
        </w:tc>
        <w:tc>
          <w:tcPr>
            <w:tcW w:w="0" w:type="auto"/>
          </w:tcPr>
          <w:p w:rsidR="00BB36B0" w:rsidRPr="007F3591" w:rsidRDefault="00BB36B0" w:rsidP="003A2318">
            <w:pPr>
              <w:jc w:val="right"/>
              <w:rPr>
                <w:sz w:val="20"/>
                <w:szCs w:val="20"/>
              </w:rPr>
            </w:pPr>
            <w:r w:rsidRPr="007F3591">
              <w:rPr>
                <w:sz w:val="20"/>
                <w:szCs w:val="20"/>
              </w:rPr>
              <w:t>115</w:t>
            </w:r>
          </w:p>
        </w:tc>
        <w:tc>
          <w:tcPr>
            <w:tcW w:w="0" w:type="auto"/>
          </w:tcPr>
          <w:p w:rsidR="00BB36B0" w:rsidRPr="007F3591" w:rsidRDefault="00BB36B0" w:rsidP="003A2318">
            <w:pPr>
              <w:jc w:val="right"/>
              <w:rPr>
                <w:sz w:val="20"/>
                <w:szCs w:val="20"/>
              </w:rPr>
            </w:pPr>
            <w:r w:rsidRPr="007F3591">
              <w:rPr>
                <w:sz w:val="20"/>
                <w:szCs w:val="20"/>
              </w:rPr>
              <w:t>39</w:t>
            </w:r>
          </w:p>
        </w:tc>
        <w:tc>
          <w:tcPr>
            <w:tcW w:w="0" w:type="auto"/>
          </w:tcPr>
          <w:p w:rsidR="00BB36B0" w:rsidRPr="007F3591" w:rsidRDefault="00BB36B0" w:rsidP="003A2318">
            <w:pPr>
              <w:jc w:val="right"/>
              <w:rPr>
                <w:sz w:val="20"/>
                <w:szCs w:val="20"/>
              </w:rPr>
            </w:pPr>
            <w:r w:rsidRPr="007F3591">
              <w:rPr>
                <w:sz w:val="20"/>
                <w:szCs w:val="20"/>
              </w:rPr>
              <w:t>7</w:t>
            </w:r>
          </w:p>
        </w:tc>
      </w:tr>
      <w:tr w:rsidR="00BB36B0" w:rsidTr="003A2318">
        <w:tc>
          <w:tcPr>
            <w:tcW w:w="6232" w:type="dxa"/>
          </w:tcPr>
          <w:p w:rsidR="00BB36B0" w:rsidRPr="00595510" w:rsidRDefault="00BB36B0" w:rsidP="003A2318">
            <w:pPr>
              <w:rPr>
                <w:sz w:val="20"/>
                <w:szCs w:val="20"/>
              </w:rPr>
            </w:pPr>
            <w:r w:rsidRPr="004531AD">
              <w:rPr>
                <w:sz w:val="20"/>
                <w:szCs w:val="20"/>
              </w:rPr>
              <w:t xml:space="preserve">       i förhållande till befolkningen</w:t>
            </w:r>
          </w:p>
        </w:tc>
        <w:tc>
          <w:tcPr>
            <w:tcW w:w="601" w:type="dxa"/>
          </w:tcPr>
          <w:p w:rsidR="00BB36B0" w:rsidRPr="007F3591" w:rsidRDefault="00BB36B0" w:rsidP="003A2318">
            <w:pPr>
              <w:jc w:val="right"/>
              <w:rPr>
                <w:sz w:val="20"/>
                <w:szCs w:val="20"/>
              </w:rPr>
            </w:pPr>
            <w:r w:rsidRPr="007F3591">
              <w:rPr>
                <w:sz w:val="20"/>
                <w:szCs w:val="20"/>
              </w:rPr>
              <w:t>50</w:t>
            </w:r>
          </w:p>
        </w:tc>
        <w:tc>
          <w:tcPr>
            <w:tcW w:w="0" w:type="auto"/>
          </w:tcPr>
          <w:p w:rsidR="00BB36B0" w:rsidRPr="007F3591" w:rsidRDefault="00BB36B0" w:rsidP="003A2318">
            <w:pPr>
              <w:jc w:val="right"/>
              <w:rPr>
                <w:sz w:val="20"/>
                <w:szCs w:val="20"/>
              </w:rPr>
            </w:pPr>
            <w:r w:rsidRPr="007F3591">
              <w:rPr>
                <w:sz w:val="20"/>
                <w:szCs w:val="20"/>
              </w:rPr>
              <w:t xml:space="preserve">18 </w:t>
            </w:r>
          </w:p>
        </w:tc>
        <w:tc>
          <w:tcPr>
            <w:tcW w:w="0" w:type="auto"/>
          </w:tcPr>
          <w:p w:rsidR="00BB36B0" w:rsidRPr="007F3591" w:rsidRDefault="00BB36B0" w:rsidP="003A2318">
            <w:pPr>
              <w:jc w:val="right"/>
              <w:rPr>
                <w:sz w:val="20"/>
                <w:szCs w:val="20"/>
              </w:rPr>
            </w:pPr>
            <w:r w:rsidRPr="007F3591">
              <w:rPr>
                <w:sz w:val="20"/>
                <w:szCs w:val="20"/>
              </w:rPr>
              <w:t>23</w:t>
            </w:r>
          </w:p>
        </w:tc>
        <w:tc>
          <w:tcPr>
            <w:tcW w:w="0" w:type="auto"/>
          </w:tcPr>
          <w:p w:rsidR="00BB36B0" w:rsidRPr="007F3591" w:rsidRDefault="00BB36B0" w:rsidP="003A2318">
            <w:pPr>
              <w:jc w:val="right"/>
              <w:rPr>
                <w:sz w:val="20"/>
                <w:szCs w:val="20"/>
              </w:rPr>
            </w:pPr>
            <w:r w:rsidRPr="007F3591">
              <w:rPr>
                <w:sz w:val="20"/>
                <w:szCs w:val="20"/>
              </w:rPr>
              <w:t>7</w:t>
            </w:r>
          </w:p>
        </w:tc>
      </w:tr>
      <w:tr w:rsidR="00BB36B0" w:rsidTr="003A2318">
        <w:tc>
          <w:tcPr>
            <w:tcW w:w="6232" w:type="dxa"/>
          </w:tcPr>
          <w:p w:rsidR="00BB36B0" w:rsidRPr="00595510" w:rsidRDefault="00BB36B0" w:rsidP="003A2318">
            <w:pPr>
              <w:rPr>
                <w:sz w:val="20"/>
                <w:szCs w:val="20"/>
              </w:rPr>
            </w:pPr>
            <w:r w:rsidRPr="004531AD">
              <w:rPr>
                <w:rFonts w:cs="Helvetica"/>
                <w:color w:val="000000"/>
                <w:sz w:val="20"/>
                <w:szCs w:val="20"/>
              </w:rPr>
              <w:t xml:space="preserve">       per 1000 beviljade EPO-patent i landet</w:t>
            </w:r>
          </w:p>
        </w:tc>
        <w:tc>
          <w:tcPr>
            <w:tcW w:w="601" w:type="dxa"/>
          </w:tcPr>
          <w:p w:rsidR="00BB36B0" w:rsidRPr="007F3591" w:rsidRDefault="00BB36B0" w:rsidP="003A2318">
            <w:pPr>
              <w:jc w:val="right"/>
              <w:rPr>
                <w:sz w:val="20"/>
                <w:szCs w:val="20"/>
              </w:rPr>
            </w:pPr>
            <w:r w:rsidRPr="007F3591">
              <w:rPr>
                <w:sz w:val="20"/>
                <w:szCs w:val="20"/>
              </w:rPr>
              <w:t>28,5</w:t>
            </w:r>
          </w:p>
        </w:tc>
        <w:tc>
          <w:tcPr>
            <w:tcW w:w="0" w:type="auto"/>
          </w:tcPr>
          <w:p w:rsidR="00BB36B0" w:rsidRPr="007F3591" w:rsidRDefault="00BB36B0" w:rsidP="003A2318">
            <w:pPr>
              <w:jc w:val="right"/>
              <w:rPr>
                <w:sz w:val="20"/>
                <w:szCs w:val="20"/>
              </w:rPr>
            </w:pPr>
            <w:r w:rsidRPr="007F3591">
              <w:rPr>
                <w:sz w:val="20"/>
                <w:szCs w:val="20"/>
              </w:rPr>
              <w:t>21,9</w:t>
            </w:r>
          </w:p>
        </w:tc>
        <w:tc>
          <w:tcPr>
            <w:tcW w:w="0" w:type="auto"/>
          </w:tcPr>
          <w:p w:rsidR="00BB36B0" w:rsidRPr="007F3591" w:rsidRDefault="00BB36B0" w:rsidP="003A2318">
            <w:pPr>
              <w:jc w:val="right"/>
              <w:rPr>
                <w:sz w:val="20"/>
                <w:szCs w:val="20"/>
              </w:rPr>
            </w:pPr>
            <w:r w:rsidRPr="007F3591">
              <w:rPr>
                <w:sz w:val="20"/>
                <w:szCs w:val="20"/>
              </w:rPr>
              <w:t>17</w:t>
            </w:r>
          </w:p>
        </w:tc>
        <w:tc>
          <w:tcPr>
            <w:tcW w:w="0" w:type="auto"/>
          </w:tcPr>
          <w:p w:rsidR="00BB36B0" w:rsidRPr="007F3591" w:rsidRDefault="00BB36B0" w:rsidP="003A2318">
            <w:pPr>
              <w:jc w:val="right"/>
              <w:rPr>
                <w:sz w:val="20"/>
                <w:szCs w:val="20"/>
              </w:rPr>
            </w:pPr>
            <w:r w:rsidRPr="007F3591">
              <w:rPr>
                <w:sz w:val="20"/>
                <w:szCs w:val="20"/>
              </w:rPr>
              <w:t>3,8</w:t>
            </w:r>
          </w:p>
        </w:tc>
      </w:tr>
    </w:tbl>
    <w:p w:rsidR="00BB36B0" w:rsidRDefault="00BB36B0" w:rsidP="00BB36B0"/>
    <w:p w:rsidR="00BB36B0" w:rsidRDefault="00BB36B0" w:rsidP="00BB36B0">
      <w:r>
        <w:t xml:space="preserve">Ovan framgår att skillnaderna är stora. Frågan man ställer sig är varför Sverige utmärker sig så i jämförelse med Tyskland, Frankrike och Nederländerna? De främsta skälen till denna obalans är förmodligen avsaknaden på aktiv processledning, osäkerheten om storleken på rättegångskostnaderna och medvetenheten om svårigheten att nå framgång i målet. </w:t>
      </w:r>
    </w:p>
    <w:p w:rsidR="00BB36B0" w:rsidRDefault="00BB36B0" w:rsidP="00BB36B0">
      <w:pPr>
        <w:rPr>
          <w:rFonts w:cs="Times New Roman"/>
          <w:b/>
          <w:szCs w:val="22"/>
        </w:rPr>
      </w:pPr>
      <w:r>
        <w:rPr>
          <w:b/>
          <w:szCs w:val="22"/>
        </w:rPr>
        <w:br w:type="page"/>
      </w:r>
    </w:p>
    <w:p w:rsidR="00BB36B0" w:rsidRPr="00514AC4" w:rsidRDefault="00BB36B0" w:rsidP="00BB36B0">
      <w:pPr>
        <w:pStyle w:val="Normalwebb"/>
        <w:shd w:val="clear" w:color="auto" w:fill="FFFFFF"/>
        <w:spacing w:before="0" w:beforeAutospacing="0" w:after="0" w:afterAutospacing="0"/>
        <w:rPr>
          <w:rFonts w:ascii="Palatino Linotype" w:hAnsi="Palatino Linotype"/>
          <w:b/>
          <w:sz w:val="22"/>
          <w:szCs w:val="22"/>
        </w:rPr>
      </w:pPr>
      <w:r w:rsidRPr="00514AC4">
        <w:rPr>
          <w:rFonts w:ascii="Palatino Linotype" w:hAnsi="Palatino Linotype"/>
          <w:b/>
          <w:sz w:val="22"/>
          <w:szCs w:val="22"/>
        </w:rPr>
        <w:lastRenderedPageBreak/>
        <w:t xml:space="preserve">Tabell </w:t>
      </w:r>
      <w:r>
        <w:rPr>
          <w:rFonts w:ascii="Palatino Linotype" w:hAnsi="Palatino Linotype"/>
          <w:b/>
          <w:sz w:val="22"/>
          <w:szCs w:val="22"/>
        </w:rPr>
        <w:t>2</w:t>
      </w:r>
    </w:p>
    <w:p w:rsidR="00BB36B0" w:rsidRPr="00275F08" w:rsidRDefault="00BB36B0" w:rsidP="00BB36B0">
      <w:pPr>
        <w:rPr>
          <w:rFonts w:ascii="Times New Roman" w:eastAsia="Times New Roman" w:hAnsi="Times New Roman" w:cs="Times New Roman"/>
          <w:b/>
          <w:sz w:val="20"/>
          <w:szCs w:val="20"/>
        </w:rPr>
      </w:pPr>
      <w:r w:rsidRPr="00275F08">
        <w:rPr>
          <w:rFonts w:eastAsia="Times New Roman" w:cs="Times New Roman"/>
          <w:b/>
          <w:bCs/>
          <w:color w:val="000000"/>
          <w:szCs w:val="22"/>
        </w:rPr>
        <w:t>Rättegångskostnader i Sverige som Patent och marknadsdomstolen (PMD) har dömt ut under</w:t>
      </w:r>
      <w:r w:rsidRPr="00275F08">
        <w:rPr>
          <w:b/>
          <w:szCs w:val="22"/>
        </w:rPr>
        <w:t xml:space="preserve"> tiden 2016-2019 d.v.s. under den tid de nya domstolarna varit verksamma.</w:t>
      </w:r>
      <w:r w:rsidRPr="00275F08">
        <w:rPr>
          <w:rStyle w:val="Fotnotsreferens"/>
          <w:szCs w:val="22"/>
        </w:rPr>
        <w:footnoteReference w:id="27"/>
      </w:r>
      <w:r w:rsidRPr="00275F08">
        <w:rPr>
          <w:b/>
          <w:szCs w:val="22"/>
        </w:rPr>
        <w:t xml:space="preserve"> </w:t>
      </w:r>
    </w:p>
    <w:p w:rsidR="00BB36B0" w:rsidRPr="00662111" w:rsidRDefault="00BB36B0" w:rsidP="00BB36B0">
      <w:pPr>
        <w:pStyle w:val="Normalwebb"/>
        <w:shd w:val="clear" w:color="auto" w:fill="FFFFFF"/>
        <w:spacing w:before="0" w:beforeAutospacing="0" w:after="0" w:afterAutospacing="0"/>
        <w:rPr>
          <w:rFonts w:ascii="Palatino Linotype" w:hAnsi="Palatino Linotype"/>
          <w:sz w:val="22"/>
          <w:szCs w:val="22"/>
        </w:rPr>
      </w:pPr>
      <w:r>
        <w:rPr>
          <w:rFonts w:ascii="Palatino Linotype" w:hAnsi="Palatino Linotype"/>
          <w:sz w:val="22"/>
          <w:szCs w:val="22"/>
        </w:rPr>
        <w:t>Observera att detta är kostnaderna den förlorande parten får ersätta den vinnande parten med för att täcka dennes rättegångskostnader. Till dessa kostnader skall adderas den förlorande partens egna kostnader, som är i samma storleksordning. Tabellen gäller samtliga mål alltså inte bara de kapitalsvaga aktörernas.</w:t>
      </w:r>
    </w:p>
    <w:p w:rsidR="00BB36B0" w:rsidRPr="007F3591" w:rsidRDefault="00BB36B0" w:rsidP="00BB36B0">
      <w:pPr>
        <w:pStyle w:val="Normalwebb"/>
        <w:pBdr>
          <w:top w:val="single" w:sz="4" w:space="1" w:color="auto"/>
          <w:left w:val="single" w:sz="4" w:space="4" w:color="auto"/>
          <w:bottom w:val="single" w:sz="4" w:space="1" w:color="auto"/>
          <w:right w:val="single" w:sz="4" w:space="1" w:color="auto"/>
        </w:pBdr>
        <w:shd w:val="clear" w:color="auto" w:fill="FFFFFF"/>
        <w:rPr>
          <w:rFonts w:ascii="Palatino Linotype" w:hAnsi="Palatino Linotype"/>
        </w:rPr>
      </w:pPr>
      <w:r w:rsidRPr="007F3591">
        <w:rPr>
          <w:rFonts w:ascii="Palatino Linotype" w:hAnsi="Palatino Linotype"/>
        </w:rPr>
        <w:t>Mål  angående</w:t>
      </w:r>
      <w:r w:rsidRPr="007F3591">
        <w:rPr>
          <w:rFonts w:ascii="Palatino Linotype" w:hAnsi="Palatino Linotype"/>
        </w:rPr>
        <w:tab/>
      </w:r>
      <w:r w:rsidRPr="007F3591">
        <w:rPr>
          <w:rFonts w:ascii="Palatino Linotype" w:hAnsi="Palatino Linotype"/>
        </w:rPr>
        <w:tab/>
      </w:r>
      <w:r>
        <w:rPr>
          <w:rFonts w:ascii="Palatino Linotype" w:hAnsi="Palatino Linotype"/>
        </w:rPr>
        <w:t>K</w:t>
      </w:r>
      <w:r w:rsidRPr="007F3591">
        <w:rPr>
          <w:rFonts w:ascii="Palatino Linotype" w:hAnsi="Palatino Linotype"/>
        </w:rPr>
        <w:t>ostnader</w:t>
      </w:r>
    </w:p>
    <w:p w:rsidR="00BB36B0" w:rsidRPr="007F3591" w:rsidRDefault="00BB36B0" w:rsidP="00BB36B0">
      <w:pPr>
        <w:pStyle w:val="Normalwebb"/>
        <w:pBdr>
          <w:top w:val="single" w:sz="4" w:space="1" w:color="auto"/>
          <w:left w:val="single" w:sz="4" w:space="4" w:color="auto"/>
          <w:bottom w:val="single" w:sz="4" w:space="1" w:color="auto"/>
          <w:right w:val="single" w:sz="4" w:space="1" w:color="auto"/>
        </w:pBdr>
        <w:shd w:val="clear" w:color="auto" w:fill="FFFFFF"/>
        <w:rPr>
          <w:rFonts w:ascii="Palatino Linotype" w:hAnsi="Palatino Linotype"/>
        </w:rPr>
      </w:pPr>
      <w:r w:rsidRPr="007F3591">
        <w:rPr>
          <w:rFonts w:ascii="Palatino Linotype" w:hAnsi="Palatino Linotype"/>
        </w:rPr>
        <w:t xml:space="preserve">Intrång 12 st. </w:t>
      </w:r>
      <w:r w:rsidRPr="007F3591">
        <w:rPr>
          <w:rFonts w:ascii="Palatino Linotype" w:hAnsi="Palatino Linotype"/>
        </w:rPr>
        <w:tab/>
      </w:r>
      <w:r w:rsidRPr="007F3591">
        <w:rPr>
          <w:rFonts w:ascii="Palatino Linotype" w:hAnsi="Palatino Linotype"/>
        </w:rPr>
        <w:tab/>
      </w:r>
      <w:r>
        <w:rPr>
          <w:rFonts w:ascii="Palatino Linotype" w:hAnsi="Palatino Linotype"/>
        </w:rPr>
        <w:tab/>
      </w:r>
      <w:r w:rsidRPr="007F3591">
        <w:rPr>
          <w:rFonts w:ascii="Palatino Linotype" w:hAnsi="Palatino Linotype"/>
        </w:rPr>
        <w:t>1 168 000 – 10 037 000 SEK</w:t>
      </w:r>
    </w:p>
    <w:p w:rsidR="00BB36B0" w:rsidRPr="007F3591" w:rsidRDefault="00BB36B0" w:rsidP="00BB36B0">
      <w:pPr>
        <w:pStyle w:val="Normalwebb"/>
        <w:pBdr>
          <w:top w:val="single" w:sz="4" w:space="1" w:color="auto"/>
          <w:left w:val="single" w:sz="4" w:space="4" w:color="auto"/>
          <w:bottom w:val="single" w:sz="4" w:space="1" w:color="auto"/>
          <w:right w:val="single" w:sz="4" w:space="1" w:color="auto"/>
        </w:pBdr>
        <w:shd w:val="clear" w:color="auto" w:fill="FFFFFF"/>
        <w:rPr>
          <w:rFonts w:ascii="Palatino Linotype" w:hAnsi="Palatino Linotype"/>
        </w:rPr>
      </w:pPr>
      <w:r w:rsidRPr="007F3591">
        <w:rPr>
          <w:rFonts w:ascii="Palatino Linotype" w:hAnsi="Palatino Linotype"/>
        </w:rPr>
        <w:t>Ogiltighet 13 st.</w:t>
      </w:r>
      <w:r w:rsidRPr="007F3591">
        <w:rPr>
          <w:rFonts w:ascii="Palatino Linotype" w:hAnsi="Palatino Linotype"/>
        </w:rPr>
        <w:tab/>
      </w:r>
      <w:r w:rsidRPr="007F3591">
        <w:rPr>
          <w:rFonts w:ascii="Palatino Linotype" w:hAnsi="Palatino Linotype"/>
        </w:rPr>
        <w:tab/>
        <w:t>825 000 - 11 360 000 SEK</w:t>
      </w:r>
    </w:p>
    <w:p w:rsidR="00BB36B0" w:rsidRPr="007F3591" w:rsidRDefault="00BB36B0" w:rsidP="00BB36B0">
      <w:pPr>
        <w:pStyle w:val="Normalwebb"/>
        <w:pBdr>
          <w:top w:val="single" w:sz="4" w:space="1" w:color="auto"/>
          <w:left w:val="single" w:sz="4" w:space="4" w:color="auto"/>
          <w:bottom w:val="single" w:sz="4" w:space="1" w:color="auto"/>
          <w:right w:val="single" w:sz="4" w:space="1" w:color="auto"/>
        </w:pBdr>
        <w:shd w:val="clear" w:color="auto" w:fill="FFFFFF"/>
        <w:rPr>
          <w:rFonts w:ascii="Palatino Linotype" w:hAnsi="Palatino Linotype"/>
        </w:rPr>
      </w:pPr>
      <w:r w:rsidRPr="007F3591">
        <w:rPr>
          <w:rFonts w:ascii="Palatino Linotype" w:hAnsi="Palatino Linotype"/>
        </w:rPr>
        <w:t>Bättre rätt 7 st.</w:t>
      </w:r>
      <w:r w:rsidRPr="007F3591">
        <w:rPr>
          <w:rFonts w:ascii="Palatino Linotype" w:hAnsi="Palatino Linotype"/>
        </w:rPr>
        <w:tab/>
      </w:r>
      <w:r w:rsidRPr="007F3591">
        <w:rPr>
          <w:rFonts w:ascii="Palatino Linotype" w:hAnsi="Palatino Linotype"/>
        </w:rPr>
        <w:tab/>
      </w:r>
      <w:r>
        <w:rPr>
          <w:rFonts w:ascii="Palatino Linotype" w:hAnsi="Palatino Linotype"/>
        </w:rPr>
        <w:tab/>
      </w:r>
      <w:r w:rsidRPr="007F3591">
        <w:rPr>
          <w:rFonts w:ascii="Palatino Linotype" w:hAnsi="Palatino Linotype"/>
        </w:rPr>
        <w:t>281 000 – 3 392 000 SEK</w:t>
      </w:r>
    </w:p>
    <w:p w:rsidR="00BB36B0" w:rsidRPr="007F3591" w:rsidRDefault="00BB36B0" w:rsidP="00BB36B0">
      <w:pPr>
        <w:pStyle w:val="Normalwebb"/>
        <w:pBdr>
          <w:top w:val="single" w:sz="4" w:space="1" w:color="auto"/>
          <w:left w:val="single" w:sz="4" w:space="4" w:color="auto"/>
          <w:bottom w:val="single" w:sz="4" w:space="1" w:color="auto"/>
          <w:right w:val="single" w:sz="4" w:space="1" w:color="auto"/>
        </w:pBdr>
        <w:shd w:val="clear" w:color="auto" w:fill="FFFFFF"/>
        <w:rPr>
          <w:rFonts w:ascii="Palatino Linotype" w:hAnsi="Palatino Linotype"/>
        </w:rPr>
      </w:pPr>
      <w:r w:rsidRPr="007F3591">
        <w:rPr>
          <w:rFonts w:ascii="Palatino Linotype" w:hAnsi="Palatino Linotype"/>
        </w:rPr>
        <w:t>Negativ fastställelse 1 st.</w:t>
      </w:r>
      <w:r w:rsidRPr="007F3591">
        <w:rPr>
          <w:rFonts w:ascii="Palatino Linotype" w:hAnsi="Palatino Linotype"/>
        </w:rPr>
        <w:tab/>
      </w:r>
      <w:r w:rsidRPr="007F3591">
        <w:rPr>
          <w:rFonts w:ascii="Palatino Linotype" w:hAnsi="Palatino Linotype"/>
        </w:rPr>
        <w:tab/>
        <w:t>10 037 000 SEK</w:t>
      </w:r>
    </w:p>
    <w:p w:rsidR="00BB36B0" w:rsidRPr="00FE31F9" w:rsidRDefault="00BB36B0" w:rsidP="00BB36B0">
      <w:r w:rsidRPr="00FE31F9">
        <w:t xml:space="preserve">Kostnadsutfallet för de fall som går till skiljedom är inte känt. Det vore </w:t>
      </w:r>
      <w:r>
        <w:t xml:space="preserve">naturligtvis </w:t>
      </w:r>
      <w:r w:rsidRPr="00FE31F9">
        <w:t xml:space="preserve">intressant att också kunna studera </w:t>
      </w:r>
      <w:r>
        <w:t>dessa kostnader.</w:t>
      </w:r>
    </w:p>
    <w:p w:rsidR="00BB36B0" w:rsidRDefault="00BB36B0" w:rsidP="00BB36B0">
      <w:pPr>
        <w:rPr>
          <w:b/>
        </w:rPr>
      </w:pPr>
    </w:p>
    <w:p w:rsidR="00BB36B0" w:rsidRDefault="00BB36B0" w:rsidP="00BB36B0">
      <w:pPr>
        <w:rPr>
          <w:b/>
        </w:rPr>
      </w:pPr>
      <w:r w:rsidRPr="00786812">
        <w:rPr>
          <w:b/>
        </w:rPr>
        <w:t>Möjligheten för ett mindre företag att vinna i en process</w:t>
      </w:r>
      <w:r>
        <w:rPr>
          <w:b/>
        </w:rPr>
        <w:t xml:space="preserve"> </w:t>
      </w:r>
      <w:r w:rsidRPr="003B6CAF">
        <w:t>är en svårbedömd fråga</w:t>
      </w:r>
      <w:r>
        <w:t>,</w:t>
      </w:r>
      <w:r w:rsidRPr="003B6CAF">
        <w:t xml:space="preserve"> då</w:t>
      </w:r>
      <w:r>
        <w:rPr>
          <w:b/>
        </w:rPr>
        <w:t xml:space="preserve"> </w:t>
      </w:r>
    </w:p>
    <w:p w:rsidR="00BB36B0" w:rsidRDefault="00BB36B0" w:rsidP="00BB36B0">
      <w:r>
        <w:t xml:space="preserve">data </w:t>
      </w:r>
      <w:r w:rsidRPr="0055445A">
        <w:t>saknas från hela EU</w:t>
      </w:r>
      <w:r>
        <w:t>. Antalet kända fall i Sverige, där kapitalsvaga aktörer vunnit mot etablerade företag i ett väsentligt patentmål de senaste decennierna är få.</w:t>
      </w:r>
    </w:p>
    <w:p w:rsidR="00BB36B0" w:rsidRPr="00DA0F92" w:rsidRDefault="00BB36B0" w:rsidP="00BB36B0"/>
    <w:p w:rsidR="00BB36B0" w:rsidRDefault="00BB36B0" w:rsidP="00BB36B0"/>
    <w:p w:rsidR="00485CEE" w:rsidRDefault="00485CEE"/>
    <w:sectPr w:rsidR="00485CEE" w:rsidSect="008E0B08">
      <w:footerReference w:type="even" r:id="rId10"/>
      <w:footerReference w:type="default" r:id="rId11"/>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5A1E" w:rsidRDefault="00CE5A1E" w:rsidP="00BB36B0">
      <w:r>
        <w:separator/>
      </w:r>
    </w:p>
  </w:endnote>
  <w:endnote w:type="continuationSeparator" w:id="0">
    <w:p w:rsidR="00CE5A1E" w:rsidRDefault="00CE5A1E" w:rsidP="00BB3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MetaPro-Normal">
    <w:altName w:val="Palatino Linotype"/>
    <w:panose1 w:val="020B0604020202020204"/>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alatinoLinotype-Roman">
    <w:altName w:val="Palatino Linotype"/>
    <w:panose1 w:val="020B0604020202020204"/>
    <w:charset w:val="00"/>
    <w:family w:val="roman"/>
    <w:notTrueType/>
    <w:pitch w:val="default"/>
  </w:font>
  <w:font w:name="OpenSans">
    <w:altName w:val="Times New Roman"/>
    <w:panose1 w:val="020B0604020202020204"/>
    <w:charset w:val="00"/>
    <w:family w:val="roman"/>
    <w:notTrueType/>
    <w:pitch w:val="default"/>
  </w:font>
  <w:font w:name="MetaPro-Bold">
    <w:altName w:val="Palatino Linotype"/>
    <w:panose1 w:val="020B0604020202020204"/>
    <w:charset w:val="00"/>
    <w:family w:val="swiss"/>
    <w:notTrueType/>
    <w:pitch w:val="default"/>
    <w:sig w:usb0="00000003" w:usb1="00000000" w:usb2="00000000" w:usb3="00000000" w:csb0="00000001" w:csb1="00000000"/>
  </w:font>
  <w:font w:name="Helvetica">
    <w:panose1 w:val="00000000000000000000"/>
    <w:charset w:val="00"/>
    <w:family w:val="auto"/>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DED" w:rsidRDefault="00CE5A1E" w:rsidP="00CD5CF7">
    <w:pPr>
      <w:pStyle w:val="Sidfot"/>
      <w:framePr w:wrap="around" w:vAnchor="text" w:hAnchor="margin" w:xAlign="right" w:y="1"/>
      <w:rPr>
        <w:rStyle w:val="Sidnummer"/>
      </w:rPr>
    </w:pPr>
    <w:r>
      <w:rPr>
        <w:rStyle w:val="Sidnummer"/>
      </w:rPr>
      <w:fldChar w:fldCharType="begin"/>
    </w:r>
    <w:r>
      <w:rPr>
        <w:rStyle w:val="Sidnummer"/>
      </w:rPr>
      <w:instrText xml:space="preserve">PAGE  </w:instrText>
    </w:r>
    <w:r>
      <w:rPr>
        <w:rStyle w:val="Sidnummer"/>
      </w:rPr>
      <w:fldChar w:fldCharType="end"/>
    </w:r>
  </w:p>
  <w:p w:rsidR="00224DED" w:rsidRDefault="00CE5A1E" w:rsidP="008E0B08">
    <w:pPr>
      <w:pStyle w:val="Sidfo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DED" w:rsidRDefault="00CE5A1E" w:rsidP="00CD5CF7">
    <w:pPr>
      <w:pStyle w:val="Sidfot"/>
      <w:framePr w:wrap="around" w:vAnchor="text" w:hAnchor="margin" w:xAlign="right" w:y="1"/>
      <w:rPr>
        <w:rStyle w:val="Sidnummer"/>
      </w:rPr>
    </w:pPr>
    <w:r>
      <w:rPr>
        <w:rStyle w:val="Sidnummer"/>
      </w:rPr>
      <w:fldChar w:fldCharType="begin"/>
    </w:r>
    <w:r>
      <w:rPr>
        <w:rStyle w:val="Sidnummer"/>
      </w:rPr>
      <w:instrText xml:space="preserve">PAGE  </w:instrText>
    </w:r>
    <w:r>
      <w:rPr>
        <w:rStyle w:val="Sidnummer"/>
      </w:rPr>
      <w:fldChar w:fldCharType="separate"/>
    </w:r>
    <w:r>
      <w:rPr>
        <w:rStyle w:val="Sidnummer"/>
        <w:noProof/>
      </w:rPr>
      <w:t>11</w:t>
    </w:r>
    <w:r>
      <w:rPr>
        <w:rStyle w:val="Sidnummer"/>
      </w:rPr>
      <w:fldChar w:fldCharType="end"/>
    </w:r>
  </w:p>
  <w:p w:rsidR="00224DED" w:rsidRDefault="00CE5A1E" w:rsidP="008E0B08">
    <w:pPr>
      <w:pStyle w:val="Sidfo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5A1E" w:rsidRDefault="00CE5A1E" w:rsidP="00BB36B0">
      <w:r>
        <w:separator/>
      </w:r>
    </w:p>
  </w:footnote>
  <w:footnote w:type="continuationSeparator" w:id="0">
    <w:p w:rsidR="00CE5A1E" w:rsidRDefault="00CE5A1E" w:rsidP="00BB36B0">
      <w:r>
        <w:continuationSeparator/>
      </w:r>
    </w:p>
  </w:footnote>
  <w:footnote w:id="1">
    <w:p w:rsidR="00BB36B0" w:rsidRPr="003B6CAF" w:rsidRDefault="00BB36B0" w:rsidP="00BB36B0">
      <w:pPr>
        <w:pStyle w:val="Fotnotstext"/>
        <w:rPr>
          <w:sz w:val="18"/>
          <w:szCs w:val="18"/>
        </w:rPr>
      </w:pPr>
      <w:r>
        <w:rPr>
          <w:rStyle w:val="Fotnotsreferens"/>
        </w:rPr>
        <w:footnoteRef/>
      </w:r>
      <w:r w:rsidRPr="006125FC">
        <w:rPr>
          <w:lang w:val="en-US"/>
        </w:rPr>
        <w:t xml:space="preserve"> </w:t>
      </w:r>
      <w:r w:rsidRPr="00451A50">
        <w:rPr>
          <w:sz w:val="18"/>
          <w:szCs w:val="18"/>
          <w:lang w:val="en-GB"/>
        </w:rPr>
        <w:t>Evaluation of the Reforms of the Intellectual Prop</w:t>
      </w:r>
      <w:r>
        <w:rPr>
          <w:sz w:val="18"/>
          <w:szCs w:val="18"/>
          <w:lang w:val="en-GB"/>
        </w:rPr>
        <w:t xml:space="preserve">erty Enterprise Court 2010-2013, </w:t>
      </w:r>
      <w:r w:rsidRPr="00451A50">
        <w:rPr>
          <w:sz w:val="18"/>
          <w:szCs w:val="18"/>
          <w:lang w:val="en-GB"/>
        </w:rPr>
        <w:t>Helmers, C.</w:t>
      </w:r>
      <w:r>
        <w:rPr>
          <w:sz w:val="18"/>
          <w:szCs w:val="18"/>
          <w:lang w:val="en-GB"/>
        </w:rPr>
        <w:t xml:space="preserve">, </w:t>
      </w:r>
      <w:proofErr w:type="spellStart"/>
      <w:r>
        <w:rPr>
          <w:sz w:val="18"/>
          <w:szCs w:val="18"/>
          <w:lang w:val="en-GB"/>
        </w:rPr>
        <w:t>Lefouili</w:t>
      </w:r>
      <w:proofErr w:type="spellEnd"/>
      <w:r>
        <w:rPr>
          <w:sz w:val="18"/>
          <w:szCs w:val="18"/>
          <w:lang w:val="en-GB"/>
        </w:rPr>
        <w:t>, Y. and McDonagh, L.</w:t>
      </w:r>
      <w:r w:rsidRPr="00451A50">
        <w:rPr>
          <w:sz w:val="18"/>
          <w:szCs w:val="18"/>
          <w:lang w:val="en-GB"/>
        </w:rPr>
        <w:t>(2015).</w:t>
      </w:r>
      <w:r w:rsidRPr="006125FC">
        <w:rPr>
          <w:sz w:val="18"/>
          <w:szCs w:val="18"/>
          <w:lang w:val="en-US"/>
        </w:rPr>
        <w:t xml:space="preserve"> </w:t>
      </w:r>
      <w:r w:rsidRPr="00AA61B4">
        <w:rPr>
          <w:sz w:val="18"/>
          <w:szCs w:val="18"/>
        </w:rPr>
        <w:t xml:space="preserve">Reformen innebar i </w:t>
      </w:r>
      <w:r>
        <w:rPr>
          <w:sz w:val="18"/>
          <w:szCs w:val="18"/>
        </w:rPr>
        <w:t>bl.a. a</w:t>
      </w:r>
      <w:r w:rsidRPr="00AA61B4">
        <w:rPr>
          <w:sz w:val="18"/>
          <w:szCs w:val="18"/>
        </w:rPr>
        <w:t>ktiv processföring</w:t>
      </w:r>
      <w:r>
        <w:rPr>
          <w:sz w:val="18"/>
          <w:szCs w:val="18"/>
        </w:rPr>
        <w:t>. Reformen har utvärderats och r</w:t>
      </w:r>
      <w:r w:rsidRPr="00AA61B4">
        <w:rPr>
          <w:sz w:val="18"/>
          <w:szCs w:val="18"/>
        </w:rPr>
        <w:t>esultat är synnerligen positivt.</w:t>
      </w:r>
    </w:p>
  </w:footnote>
  <w:footnote w:id="2">
    <w:p w:rsidR="00BB36B0" w:rsidRPr="00546544" w:rsidRDefault="00BB36B0" w:rsidP="00BB36B0">
      <w:pPr>
        <w:pStyle w:val="Fotnotstext"/>
        <w:rPr>
          <w:sz w:val="18"/>
          <w:szCs w:val="18"/>
          <w:lang w:val="en-GB"/>
        </w:rPr>
      </w:pPr>
      <w:r>
        <w:rPr>
          <w:rStyle w:val="Fotnotsreferens"/>
        </w:rPr>
        <w:footnoteRef/>
      </w:r>
      <w:r w:rsidRPr="00290EC4">
        <w:rPr>
          <w:lang w:val="en-US"/>
        </w:rPr>
        <w:t xml:space="preserve"> </w:t>
      </w:r>
      <w:r w:rsidRPr="00546544">
        <w:rPr>
          <w:sz w:val="18"/>
          <w:szCs w:val="18"/>
          <w:lang w:val="en-GB"/>
        </w:rPr>
        <w:t>The Observatory's objectives are to:</w:t>
      </w:r>
    </w:p>
    <w:p w:rsidR="00BB36B0" w:rsidRPr="00546544" w:rsidRDefault="00BB36B0" w:rsidP="00BB36B0">
      <w:pPr>
        <w:pStyle w:val="Fotnotstext"/>
        <w:ind w:left="1304"/>
        <w:rPr>
          <w:sz w:val="18"/>
          <w:szCs w:val="18"/>
          <w:lang w:val="en-GB"/>
        </w:rPr>
      </w:pPr>
      <w:r w:rsidRPr="00546544">
        <w:rPr>
          <w:sz w:val="18"/>
          <w:szCs w:val="18"/>
          <w:lang w:val="en-GB"/>
        </w:rPr>
        <w:t>Provide evidence-based contributions and data to enable EU policymakers to shape effective IP enforcement policies and to support innovation and creativity</w:t>
      </w:r>
    </w:p>
    <w:p w:rsidR="00BB36B0" w:rsidRPr="00546544" w:rsidRDefault="00BB36B0" w:rsidP="00BB36B0">
      <w:pPr>
        <w:pStyle w:val="Fotnotstext"/>
        <w:ind w:left="1304"/>
        <w:rPr>
          <w:sz w:val="18"/>
          <w:szCs w:val="18"/>
          <w:lang w:val="en-GB"/>
        </w:rPr>
      </w:pPr>
      <w:r w:rsidRPr="00546544">
        <w:rPr>
          <w:sz w:val="18"/>
          <w:szCs w:val="18"/>
          <w:lang w:val="en-GB"/>
        </w:rPr>
        <w:t>Provide data, tools and databases to support the fight against IP infringement</w:t>
      </w:r>
    </w:p>
    <w:p w:rsidR="00BB36B0" w:rsidRPr="00546544" w:rsidRDefault="00BB36B0" w:rsidP="00BB36B0">
      <w:pPr>
        <w:pStyle w:val="Fotnotstext"/>
        <w:ind w:left="1304"/>
        <w:rPr>
          <w:sz w:val="18"/>
          <w:szCs w:val="18"/>
          <w:lang w:val="en-GB"/>
        </w:rPr>
      </w:pPr>
      <w:r w:rsidRPr="00546544">
        <w:rPr>
          <w:sz w:val="18"/>
          <w:szCs w:val="18"/>
          <w:lang w:val="en-GB"/>
        </w:rPr>
        <w:t>Provide knowledge and learning programmes for IP and enforcement authorities as well as for businesses and IP practitioners</w:t>
      </w:r>
    </w:p>
    <w:p w:rsidR="00BB36B0" w:rsidRPr="00546544" w:rsidRDefault="00BB36B0" w:rsidP="00BB36B0">
      <w:pPr>
        <w:pStyle w:val="Fotnotstext"/>
        <w:ind w:left="1304"/>
        <w:rPr>
          <w:sz w:val="18"/>
          <w:szCs w:val="18"/>
          <w:lang w:val="en-GB"/>
        </w:rPr>
      </w:pPr>
      <w:r w:rsidRPr="00546544">
        <w:rPr>
          <w:sz w:val="18"/>
          <w:szCs w:val="18"/>
          <w:lang w:val="en-GB"/>
        </w:rPr>
        <w:t>Develop initiatives to help innovators, creators and businesses (especially SMEs) protect their IP rights</w:t>
      </w:r>
    </w:p>
    <w:p w:rsidR="00BB36B0" w:rsidRPr="00546544" w:rsidRDefault="00BB36B0" w:rsidP="00BB36B0">
      <w:pPr>
        <w:pStyle w:val="Fotnotstext"/>
        <w:ind w:left="1304"/>
        <w:rPr>
          <w:lang w:val="en-GB"/>
        </w:rPr>
      </w:pPr>
      <w:r w:rsidRPr="00546544">
        <w:rPr>
          <w:sz w:val="18"/>
          <w:szCs w:val="18"/>
          <w:lang w:val="en-GB"/>
        </w:rPr>
        <w:t>Design campaigns to raise awareness of the value of IP and the negative consequences of IP infringement</w:t>
      </w:r>
    </w:p>
  </w:footnote>
  <w:footnote w:id="3">
    <w:p w:rsidR="00BB36B0" w:rsidRPr="00EF3D1C" w:rsidRDefault="00BB36B0" w:rsidP="00BB36B0">
      <w:pPr>
        <w:pStyle w:val="Normalwebb"/>
        <w:spacing w:before="0" w:beforeAutospacing="0" w:after="0" w:afterAutospacing="0"/>
        <w:rPr>
          <w:rFonts w:ascii="Palatino Linotype" w:hAnsi="Palatino Linotype"/>
          <w:sz w:val="18"/>
          <w:szCs w:val="18"/>
          <w:lang w:val="en-GB"/>
        </w:rPr>
      </w:pPr>
      <w:r>
        <w:rPr>
          <w:rStyle w:val="Fotnotsreferens"/>
        </w:rPr>
        <w:footnoteRef/>
      </w:r>
      <w:r w:rsidRPr="00290EC4">
        <w:rPr>
          <w:lang w:val="en-US"/>
        </w:rPr>
        <w:t xml:space="preserve"> </w:t>
      </w:r>
      <w:r w:rsidRPr="00EF3D1C">
        <w:rPr>
          <w:rFonts w:ascii="Palatino Linotype" w:hAnsi="Palatino Linotype"/>
          <w:sz w:val="18"/>
          <w:szCs w:val="18"/>
          <w:lang w:val="en-GB"/>
        </w:rPr>
        <w:t>Report on the protection and enforcement of intellectual property rights in third countries</w:t>
      </w:r>
      <w:r>
        <w:rPr>
          <w:rFonts w:ascii="Palatino Linotype" w:hAnsi="Palatino Linotype"/>
          <w:sz w:val="18"/>
          <w:szCs w:val="18"/>
          <w:lang w:val="en-GB"/>
        </w:rPr>
        <w:t>,</w:t>
      </w:r>
      <w:r w:rsidRPr="00EF3D1C">
        <w:rPr>
          <w:rFonts w:ascii="Palatino Linotype" w:hAnsi="Palatino Linotype"/>
          <w:sz w:val="18"/>
          <w:szCs w:val="18"/>
          <w:lang w:val="en-GB"/>
        </w:rPr>
        <w:t xml:space="preserve"> Brussels, 21.2.2018 </w:t>
      </w:r>
      <w:proofErr w:type="spellStart"/>
      <w:r w:rsidRPr="00EF3D1C">
        <w:rPr>
          <w:rFonts w:ascii="Palatino Linotype" w:hAnsi="Palatino Linotype"/>
          <w:sz w:val="18"/>
          <w:szCs w:val="18"/>
          <w:lang w:val="en-GB"/>
        </w:rPr>
        <w:t>SWD</w:t>
      </w:r>
      <w:proofErr w:type="spellEnd"/>
      <w:r>
        <w:rPr>
          <w:rFonts w:ascii="Palatino Linotype" w:hAnsi="Palatino Linotype"/>
          <w:sz w:val="18"/>
          <w:szCs w:val="18"/>
          <w:lang w:val="en-GB"/>
        </w:rPr>
        <w:t xml:space="preserve"> </w:t>
      </w:r>
      <w:r w:rsidRPr="00EF3D1C">
        <w:rPr>
          <w:rFonts w:ascii="Palatino Linotype" w:hAnsi="Palatino Linotype"/>
          <w:sz w:val="18"/>
          <w:szCs w:val="18"/>
          <w:lang w:val="en-GB"/>
        </w:rPr>
        <w:t>(2018) 47 final</w:t>
      </w:r>
    </w:p>
  </w:footnote>
  <w:footnote w:id="4">
    <w:p w:rsidR="00BB36B0" w:rsidRPr="002710F9" w:rsidRDefault="00BB36B0" w:rsidP="00BB36B0">
      <w:pPr>
        <w:pStyle w:val="Fotnotstext"/>
        <w:rPr>
          <w:sz w:val="18"/>
          <w:szCs w:val="18"/>
          <w:lang w:val="en-US"/>
        </w:rPr>
      </w:pPr>
      <w:r>
        <w:rPr>
          <w:rStyle w:val="Fotnotsreferens"/>
        </w:rPr>
        <w:footnoteRef/>
      </w:r>
      <w:r w:rsidRPr="002710F9">
        <w:rPr>
          <w:lang w:val="en-US"/>
        </w:rPr>
        <w:t xml:space="preserve"> </w:t>
      </w:r>
      <w:r w:rsidRPr="002710F9">
        <w:rPr>
          <w:sz w:val="18"/>
          <w:szCs w:val="18"/>
          <w:lang w:val="en-US"/>
        </w:rPr>
        <w:t>WIPO,</w:t>
      </w:r>
      <w:r>
        <w:rPr>
          <w:lang w:val="en-US"/>
        </w:rPr>
        <w:t xml:space="preserve"> </w:t>
      </w:r>
      <w:r w:rsidRPr="002710F9">
        <w:rPr>
          <w:sz w:val="18"/>
          <w:szCs w:val="18"/>
          <w:lang w:val="en-US"/>
        </w:rPr>
        <w:t>Economic Research Working Paper No. 48</w:t>
      </w:r>
      <w:r>
        <w:rPr>
          <w:sz w:val="18"/>
          <w:szCs w:val="18"/>
          <w:lang w:val="en-US"/>
        </w:rPr>
        <w:t xml:space="preserve">, </w:t>
      </w:r>
      <w:r w:rsidRPr="002710F9">
        <w:rPr>
          <w:sz w:val="18"/>
          <w:szCs w:val="18"/>
          <w:lang w:val="en-US"/>
        </w:rPr>
        <w:t xml:space="preserve">The economic analysis of patent litigation data </w:t>
      </w:r>
    </w:p>
    <w:p w:rsidR="00BB36B0" w:rsidRPr="002710F9" w:rsidRDefault="00BB36B0" w:rsidP="00BB36B0">
      <w:pPr>
        <w:pStyle w:val="Fotnotstext"/>
        <w:rPr>
          <w:sz w:val="18"/>
          <w:szCs w:val="18"/>
          <w:lang w:val="en-US"/>
        </w:rPr>
      </w:pPr>
      <w:r w:rsidRPr="002710F9">
        <w:rPr>
          <w:sz w:val="18"/>
          <w:szCs w:val="18"/>
          <w:lang w:val="en-US"/>
        </w:rPr>
        <w:t xml:space="preserve">Christian Helmers , </w:t>
      </w:r>
      <w:proofErr w:type="spellStart"/>
      <w:r w:rsidRPr="002710F9">
        <w:rPr>
          <w:sz w:val="18"/>
          <w:szCs w:val="18"/>
          <w:lang w:val="en-US"/>
        </w:rPr>
        <w:t>sid</w:t>
      </w:r>
      <w:proofErr w:type="spellEnd"/>
      <w:r w:rsidRPr="002710F9">
        <w:rPr>
          <w:sz w:val="18"/>
          <w:szCs w:val="18"/>
          <w:lang w:val="en-US"/>
        </w:rPr>
        <w:t xml:space="preserve"> 3</w:t>
      </w:r>
    </w:p>
  </w:footnote>
  <w:footnote w:id="5">
    <w:p w:rsidR="00BB36B0" w:rsidRPr="00290EC4" w:rsidRDefault="00BB36B0" w:rsidP="00BB36B0">
      <w:pPr>
        <w:pStyle w:val="Fotnotstext"/>
        <w:rPr>
          <w:lang w:val="en-US"/>
        </w:rPr>
      </w:pPr>
      <w:r>
        <w:rPr>
          <w:rStyle w:val="Fotnotsreferens"/>
        </w:rPr>
        <w:footnoteRef/>
      </w:r>
      <w:r w:rsidRPr="00290EC4">
        <w:rPr>
          <w:lang w:val="en-US"/>
        </w:rPr>
        <w:t xml:space="preserve"> </w:t>
      </w:r>
      <w:r>
        <w:rPr>
          <w:sz w:val="18"/>
          <w:szCs w:val="18"/>
          <w:lang w:val="en-GB"/>
        </w:rPr>
        <w:t>E</w:t>
      </w:r>
      <w:r w:rsidRPr="001E7C19">
        <w:rPr>
          <w:sz w:val="18"/>
          <w:szCs w:val="18"/>
          <w:lang w:val="en-GB"/>
        </w:rPr>
        <w:t>nforcing small firms’ patent rights</w:t>
      </w:r>
      <w:r>
        <w:rPr>
          <w:sz w:val="18"/>
          <w:szCs w:val="18"/>
          <w:lang w:val="en-GB"/>
        </w:rPr>
        <w:t>, William Kingston, 2000</w:t>
      </w:r>
    </w:p>
  </w:footnote>
  <w:footnote w:id="6">
    <w:p w:rsidR="00BB36B0" w:rsidRPr="00AF30FA" w:rsidRDefault="00BB36B0" w:rsidP="00BB36B0">
      <w:pPr>
        <w:pStyle w:val="Fotnotstext"/>
        <w:rPr>
          <w:lang w:val="en-US"/>
        </w:rPr>
      </w:pPr>
      <w:r>
        <w:rPr>
          <w:rStyle w:val="Fotnotsreferens"/>
        </w:rPr>
        <w:footnoteRef/>
      </w:r>
      <w:r w:rsidRPr="00AF30FA">
        <w:rPr>
          <w:lang w:val="en-US"/>
        </w:rPr>
        <w:t xml:space="preserve"> </w:t>
      </w:r>
      <w:r w:rsidRPr="00F8125A">
        <w:rPr>
          <w:sz w:val="18"/>
          <w:szCs w:val="18"/>
          <w:lang w:val="en-GB"/>
        </w:rPr>
        <w:t>Allocation of IP control rights and effective</w:t>
      </w:r>
      <w:r>
        <w:rPr>
          <w:sz w:val="18"/>
          <w:szCs w:val="18"/>
          <w:lang w:val="en-GB"/>
        </w:rPr>
        <w:t xml:space="preserve"> </w:t>
      </w:r>
      <w:r w:rsidRPr="00F8125A">
        <w:rPr>
          <w:sz w:val="18"/>
          <w:szCs w:val="18"/>
          <w:lang w:val="en-GB"/>
        </w:rPr>
        <w:t>technology commercialization at universities,</w:t>
      </w:r>
      <w:r>
        <w:rPr>
          <w:sz w:val="18"/>
          <w:szCs w:val="18"/>
          <w:lang w:val="en-GB"/>
        </w:rPr>
        <w:t xml:space="preserve"> </w:t>
      </w:r>
      <w:r w:rsidRPr="00F8125A">
        <w:rPr>
          <w:sz w:val="18"/>
          <w:szCs w:val="18"/>
          <w:lang w:val="en-GB"/>
        </w:rPr>
        <w:t xml:space="preserve">Thomas Åstebro, </w:t>
      </w:r>
      <w:r w:rsidRPr="002710F9">
        <w:rPr>
          <w:sz w:val="18"/>
          <w:szCs w:val="18"/>
          <w:lang w:val="en-US"/>
        </w:rPr>
        <w:t xml:space="preserve">2016 </w:t>
      </w:r>
      <w:proofErr w:type="spellStart"/>
      <w:r w:rsidRPr="002710F9">
        <w:rPr>
          <w:sz w:val="18"/>
          <w:szCs w:val="18"/>
          <w:lang w:val="en-US"/>
        </w:rPr>
        <w:t>sid</w:t>
      </w:r>
      <w:proofErr w:type="spellEnd"/>
      <w:r w:rsidRPr="002710F9">
        <w:rPr>
          <w:sz w:val="18"/>
          <w:szCs w:val="18"/>
          <w:lang w:val="en-US"/>
        </w:rPr>
        <w:t xml:space="preserve"> 7, </w:t>
      </w:r>
      <w:proofErr w:type="spellStart"/>
      <w:r w:rsidRPr="002710F9">
        <w:rPr>
          <w:sz w:val="18"/>
          <w:szCs w:val="18"/>
          <w:lang w:val="en-US"/>
        </w:rPr>
        <w:t>Underlag</w:t>
      </w:r>
      <w:proofErr w:type="spellEnd"/>
      <w:r w:rsidRPr="002710F9">
        <w:rPr>
          <w:sz w:val="18"/>
          <w:szCs w:val="18"/>
          <w:lang w:val="en-US"/>
        </w:rPr>
        <w:t xml:space="preserve"> till </w:t>
      </w:r>
      <w:proofErr w:type="spellStart"/>
      <w:r w:rsidRPr="002710F9">
        <w:rPr>
          <w:sz w:val="18"/>
          <w:szCs w:val="18"/>
          <w:lang w:val="en-US"/>
        </w:rPr>
        <w:t>Entreprenörskapsutredningen</w:t>
      </w:r>
      <w:proofErr w:type="spellEnd"/>
    </w:p>
  </w:footnote>
  <w:footnote w:id="7">
    <w:p w:rsidR="00BB36B0" w:rsidRPr="00290EC4" w:rsidRDefault="00BB36B0" w:rsidP="00BB36B0">
      <w:pPr>
        <w:pStyle w:val="Fotnotstext"/>
        <w:rPr>
          <w:lang w:val="en-US"/>
        </w:rPr>
      </w:pPr>
      <w:r>
        <w:rPr>
          <w:rStyle w:val="Fotnotsreferens"/>
        </w:rPr>
        <w:footnoteRef/>
      </w:r>
      <w:r w:rsidRPr="00290EC4">
        <w:rPr>
          <w:lang w:val="en-US"/>
        </w:rPr>
        <w:t xml:space="preserve"> </w:t>
      </w:r>
      <w:r w:rsidRPr="00290EC4">
        <w:rPr>
          <w:sz w:val="18"/>
          <w:szCs w:val="18"/>
          <w:lang w:val="en-US"/>
        </w:rPr>
        <w:t xml:space="preserve">Putting </w:t>
      </w:r>
      <w:r w:rsidRPr="008347DE">
        <w:rPr>
          <w:sz w:val="18"/>
          <w:szCs w:val="18"/>
          <w:lang w:val="en-GB"/>
        </w:rPr>
        <w:t xml:space="preserve">intellectual property at the service of </w:t>
      </w:r>
      <w:r>
        <w:rPr>
          <w:sz w:val="18"/>
          <w:szCs w:val="18"/>
          <w:lang w:val="en-GB"/>
        </w:rPr>
        <w:t>SME</w:t>
      </w:r>
      <w:r w:rsidRPr="008347DE">
        <w:rPr>
          <w:sz w:val="18"/>
          <w:szCs w:val="18"/>
          <w:lang w:val="en-GB"/>
        </w:rPr>
        <w:t>’s to foster innovation and growth{</w:t>
      </w:r>
      <w:r w:rsidRPr="00290EC4">
        <w:rPr>
          <w:sz w:val="18"/>
          <w:szCs w:val="18"/>
          <w:lang w:val="en-US"/>
        </w:rPr>
        <w:t>com(2016) 733 final</w:t>
      </w:r>
      <w:r w:rsidRPr="00290EC4">
        <w:rPr>
          <w:lang w:val="en-US"/>
        </w:rPr>
        <w:t>}</w:t>
      </w:r>
    </w:p>
  </w:footnote>
  <w:footnote w:id="8">
    <w:p w:rsidR="00BB36B0" w:rsidRPr="00290EC4" w:rsidRDefault="00BB36B0" w:rsidP="00BB36B0">
      <w:pPr>
        <w:pStyle w:val="Fotnotstext"/>
        <w:rPr>
          <w:lang w:val="en-US"/>
        </w:rPr>
      </w:pPr>
      <w:r>
        <w:rPr>
          <w:rStyle w:val="Fotnotsreferens"/>
        </w:rPr>
        <w:footnoteRef/>
      </w:r>
      <w:r w:rsidRPr="00290EC4">
        <w:rPr>
          <w:lang w:val="en-US"/>
        </w:rPr>
        <w:t xml:space="preserve"> </w:t>
      </w:r>
      <w:hyperlink r:id="rId1" w:history="1">
        <w:r w:rsidRPr="00290EC4">
          <w:rPr>
            <w:rStyle w:val="Hyperlnk"/>
            <w:sz w:val="18"/>
            <w:szCs w:val="18"/>
            <w:lang w:val="en-US"/>
          </w:rPr>
          <w:t>https://euipo.europa.eu/ohimportal/sv/web/observatory/ip-enforcement-portal-home-page</w:t>
        </w:r>
      </w:hyperlink>
      <w:r w:rsidRPr="00290EC4">
        <w:rPr>
          <w:sz w:val="18"/>
          <w:szCs w:val="18"/>
          <w:lang w:val="en-US"/>
        </w:rPr>
        <w:t xml:space="preserve"> </w:t>
      </w:r>
    </w:p>
  </w:footnote>
  <w:footnote w:id="9">
    <w:p w:rsidR="00BB36B0" w:rsidRDefault="00BB36B0" w:rsidP="00BB36B0">
      <w:pPr>
        <w:pStyle w:val="Fotnotstext"/>
      </w:pPr>
      <w:r>
        <w:rPr>
          <w:rStyle w:val="Fotnotsreferens"/>
        </w:rPr>
        <w:footnoteRef/>
      </w:r>
      <w:r>
        <w:t xml:space="preserve"> </w:t>
      </w:r>
      <w:r w:rsidRPr="003B6CAF">
        <w:rPr>
          <w:sz w:val="18"/>
          <w:szCs w:val="18"/>
        </w:rPr>
        <w:t xml:space="preserve">Europeiska kommissionen har </w:t>
      </w:r>
      <w:r w:rsidRPr="003E462C">
        <w:rPr>
          <w:sz w:val="18"/>
          <w:szCs w:val="18"/>
        </w:rPr>
        <w:t>sedan länge etablerat en</w:t>
      </w:r>
      <w:r w:rsidRPr="003B6CAF">
        <w:rPr>
          <w:sz w:val="18"/>
          <w:szCs w:val="18"/>
        </w:rPr>
        <w:t xml:space="preserve"> </w:t>
      </w:r>
      <w:hyperlink r:id="rId2" w:history="1">
        <w:proofErr w:type="spellStart"/>
        <w:r w:rsidRPr="00290EC4">
          <w:rPr>
            <w:rStyle w:val="Hyperlnk"/>
            <w:sz w:val="18"/>
            <w:szCs w:val="18"/>
          </w:rPr>
          <w:t>Help</w:t>
        </w:r>
        <w:proofErr w:type="spellEnd"/>
        <w:r w:rsidRPr="00290EC4">
          <w:rPr>
            <w:rStyle w:val="Hyperlnk"/>
            <w:sz w:val="18"/>
            <w:szCs w:val="18"/>
          </w:rPr>
          <w:t>-desk-IPR-China</w:t>
        </w:r>
      </w:hyperlink>
      <w:r w:rsidRPr="003B6CAF">
        <w:rPr>
          <w:sz w:val="18"/>
          <w:szCs w:val="18"/>
        </w:rPr>
        <w:t xml:space="preserve"> för att kunna bistå rättsinnehavare från medlemsländerna</w:t>
      </w:r>
    </w:p>
  </w:footnote>
  <w:footnote w:id="10">
    <w:p w:rsidR="00BB36B0" w:rsidRPr="00290EC4" w:rsidRDefault="00BB36B0" w:rsidP="00BB36B0">
      <w:pPr>
        <w:rPr>
          <w:b/>
          <w:szCs w:val="22"/>
          <w:lang w:val="en-US"/>
        </w:rPr>
      </w:pPr>
      <w:r>
        <w:rPr>
          <w:rStyle w:val="Fotnotsreferens"/>
        </w:rPr>
        <w:footnoteRef/>
      </w:r>
      <w:r w:rsidRPr="00290EC4">
        <w:rPr>
          <w:lang w:val="en-US"/>
        </w:rPr>
        <w:t xml:space="preserve"> </w:t>
      </w:r>
      <w:hyperlink r:id="rId3" w:history="1">
        <w:r w:rsidRPr="007C3E2D">
          <w:rPr>
            <w:rStyle w:val="Hyperlnk"/>
            <w:sz w:val="18"/>
            <w:szCs w:val="18"/>
            <w:lang w:val="en-GB"/>
          </w:rPr>
          <w:t>EUIPO, 2019 Status Report on IPR infringement</w:t>
        </w:r>
      </w:hyperlink>
      <w:r>
        <w:rPr>
          <w:sz w:val="18"/>
          <w:szCs w:val="18"/>
          <w:lang w:val="en-GB"/>
        </w:rPr>
        <w:t xml:space="preserve"> </w:t>
      </w:r>
    </w:p>
  </w:footnote>
  <w:footnote w:id="11">
    <w:p w:rsidR="00BB36B0" w:rsidRPr="00C05FAA" w:rsidRDefault="00BB36B0" w:rsidP="00BB36B0">
      <w:pPr>
        <w:rPr>
          <w:rFonts w:cs="Times New Roman"/>
          <w:color w:val="000000"/>
          <w:sz w:val="18"/>
          <w:szCs w:val="18"/>
          <w:lang w:val="en-GB"/>
        </w:rPr>
      </w:pPr>
      <w:r w:rsidRPr="00915604">
        <w:rPr>
          <w:rStyle w:val="Fotnotsreferens"/>
          <w:sz w:val="18"/>
          <w:szCs w:val="18"/>
        </w:rPr>
        <w:footnoteRef/>
      </w:r>
      <w:r w:rsidRPr="00290EC4">
        <w:rPr>
          <w:sz w:val="18"/>
          <w:szCs w:val="18"/>
          <w:lang w:val="en-US"/>
        </w:rPr>
        <w:t xml:space="preserve"> </w:t>
      </w:r>
      <w:hyperlink r:id="rId4" w:history="1">
        <w:r w:rsidRPr="00915604">
          <w:rPr>
            <w:rStyle w:val="Hyperlnk"/>
            <w:rFonts w:cs="Times New Roman"/>
            <w:sz w:val="18"/>
            <w:szCs w:val="18"/>
            <w:lang w:val="en-GB"/>
          </w:rPr>
          <w:t>Counterfeiting and piracy and the Swedish economy highlights brochure 2019</w:t>
        </w:r>
      </w:hyperlink>
    </w:p>
  </w:footnote>
  <w:footnote w:id="12">
    <w:p w:rsidR="00BB36B0" w:rsidRDefault="00BB36B0" w:rsidP="00BB36B0">
      <w:pPr>
        <w:pStyle w:val="Fotnotstext"/>
      </w:pPr>
      <w:r>
        <w:rPr>
          <w:rStyle w:val="Fotnotsreferens"/>
        </w:rPr>
        <w:footnoteRef/>
      </w:r>
      <w:r>
        <w:t xml:space="preserve"> </w:t>
      </w:r>
      <w:r w:rsidRPr="0007583B">
        <w:rPr>
          <w:sz w:val="18"/>
          <w:szCs w:val="18"/>
        </w:rPr>
        <w:t>Ett ramverk för innovationspolitiken, 2012, Pontus Braunerhjelm, Klas Eklund, Magnus Henrekson</w:t>
      </w:r>
      <w:r>
        <w:t xml:space="preserve">  </w:t>
      </w:r>
    </w:p>
  </w:footnote>
  <w:footnote w:id="13">
    <w:p w:rsidR="00BB36B0" w:rsidRPr="00290EC4" w:rsidRDefault="00BB36B0" w:rsidP="00BB36B0">
      <w:pPr>
        <w:pStyle w:val="Fotnotstext"/>
        <w:rPr>
          <w:lang w:val="en-US"/>
        </w:rPr>
      </w:pPr>
      <w:r>
        <w:rPr>
          <w:rStyle w:val="Fotnotsreferens"/>
        </w:rPr>
        <w:footnoteRef/>
      </w:r>
      <w:r w:rsidRPr="00290EC4">
        <w:rPr>
          <w:lang w:val="en-US"/>
        </w:rPr>
        <w:t xml:space="preserve"> </w:t>
      </w:r>
      <w:r w:rsidRPr="00290EC4">
        <w:rPr>
          <w:sz w:val="18"/>
          <w:szCs w:val="18"/>
          <w:lang w:val="en-US"/>
        </w:rPr>
        <w:t xml:space="preserve">Innovation </w:t>
      </w:r>
      <w:r w:rsidRPr="00763D2F">
        <w:rPr>
          <w:sz w:val="18"/>
          <w:szCs w:val="18"/>
          <w:lang w:val="en-GB"/>
        </w:rPr>
        <w:t>Commons</w:t>
      </w:r>
      <w:r w:rsidRPr="00290EC4">
        <w:rPr>
          <w:sz w:val="18"/>
          <w:szCs w:val="18"/>
          <w:lang w:val="en-US"/>
        </w:rPr>
        <w:t xml:space="preserve"> (Oxford University Press, 2019) Jason Potts </w:t>
      </w:r>
      <w:r w:rsidRPr="00290EC4">
        <w:rPr>
          <w:lang w:val="en-US"/>
        </w:rPr>
        <w:t xml:space="preserve"> </w:t>
      </w:r>
    </w:p>
  </w:footnote>
  <w:footnote w:id="14">
    <w:p w:rsidR="00BB36B0" w:rsidRPr="005E60B7" w:rsidRDefault="00BB36B0" w:rsidP="00BB36B0">
      <w:pPr>
        <w:pStyle w:val="Fotnotstext"/>
        <w:tabs>
          <w:tab w:val="left" w:pos="1276"/>
        </w:tabs>
        <w:rPr>
          <w:bCs/>
          <w:color w:val="0000FF"/>
          <w:sz w:val="18"/>
          <w:szCs w:val="18"/>
          <w:u w:val="single"/>
          <w:lang w:val="en-GB"/>
        </w:rPr>
      </w:pPr>
      <w:r>
        <w:rPr>
          <w:rStyle w:val="Fotnotsreferens"/>
        </w:rPr>
        <w:footnoteRef/>
      </w:r>
      <w:r w:rsidRPr="00290EC4">
        <w:rPr>
          <w:lang w:val="en-US"/>
        </w:rPr>
        <w:t xml:space="preserve"> </w:t>
      </w:r>
      <w:hyperlink r:id="rId5" w:history="1">
        <w:r w:rsidRPr="00763D2F">
          <w:rPr>
            <w:rStyle w:val="Hyperlnk"/>
            <w:bCs/>
            <w:sz w:val="18"/>
            <w:szCs w:val="18"/>
            <w:lang w:val="en-GB"/>
          </w:rPr>
          <w:t>Enhancing the Contributions of SMEs in a Global and Digitalised Economy, OECD, 2017</w:t>
        </w:r>
      </w:hyperlink>
      <w:r>
        <w:rPr>
          <w:rStyle w:val="Hyperlnk"/>
          <w:bCs/>
          <w:sz w:val="18"/>
          <w:szCs w:val="18"/>
          <w:lang w:val="en-GB"/>
        </w:rPr>
        <w:t xml:space="preserve"> </w:t>
      </w:r>
      <w:r w:rsidRPr="005E60B7">
        <w:rPr>
          <w:rStyle w:val="Hyperlnk"/>
          <w:bCs/>
          <w:sz w:val="18"/>
          <w:szCs w:val="18"/>
          <w:lang w:val="en-GB"/>
        </w:rPr>
        <w:t>Sid 5</w:t>
      </w:r>
    </w:p>
  </w:footnote>
  <w:footnote w:id="15">
    <w:p w:rsidR="00BB36B0" w:rsidRPr="00290EC4" w:rsidRDefault="00BB36B0" w:rsidP="00BB36B0">
      <w:pPr>
        <w:pStyle w:val="Fotnotstext"/>
        <w:rPr>
          <w:lang w:val="en-US"/>
        </w:rPr>
      </w:pPr>
      <w:r>
        <w:rPr>
          <w:rStyle w:val="Fotnotsreferens"/>
        </w:rPr>
        <w:footnoteRef/>
      </w:r>
      <w:r w:rsidRPr="00290EC4">
        <w:rPr>
          <w:lang w:val="en-US"/>
        </w:rPr>
        <w:t xml:space="preserve"> </w:t>
      </w:r>
      <w:hyperlink r:id="rId6" w:history="1">
        <w:r w:rsidRPr="00476C61">
          <w:rPr>
            <w:rStyle w:val="Hyperlnk"/>
            <w:bCs/>
            <w:sz w:val="18"/>
            <w:szCs w:val="18"/>
            <w:lang w:val="en-GB"/>
          </w:rPr>
          <w:t xml:space="preserve">High-growth firms and </w:t>
        </w:r>
        <w:r>
          <w:rPr>
            <w:rStyle w:val="Hyperlnk"/>
            <w:bCs/>
            <w:sz w:val="18"/>
            <w:szCs w:val="18"/>
            <w:lang w:val="en-GB"/>
          </w:rPr>
          <w:t xml:space="preserve">intellectual property rights - </w:t>
        </w:r>
        <w:r w:rsidRPr="00476C61">
          <w:rPr>
            <w:rStyle w:val="Hyperlnk"/>
            <w:bCs/>
            <w:sz w:val="18"/>
            <w:szCs w:val="18"/>
            <w:lang w:val="en-GB"/>
          </w:rPr>
          <w:t>IPR profile of high-potential SMEs in Europe, May 2019, WIPO and EUIPO</w:t>
        </w:r>
      </w:hyperlink>
    </w:p>
  </w:footnote>
  <w:footnote w:id="16">
    <w:p w:rsidR="00BB36B0" w:rsidRPr="00290EC4" w:rsidRDefault="00BB36B0" w:rsidP="00BB36B0">
      <w:pPr>
        <w:pStyle w:val="Fotnotstext"/>
        <w:rPr>
          <w:lang w:val="en-US"/>
        </w:rPr>
      </w:pPr>
      <w:r>
        <w:rPr>
          <w:rStyle w:val="Fotnotsreferens"/>
        </w:rPr>
        <w:footnoteRef/>
      </w:r>
      <w:r w:rsidRPr="00290EC4">
        <w:rPr>
          <w:lang w:val="en-US"/>
        </w:rPr>
        <w:t xml:space="preserve"> </w:t>
      </w:r>
      <w:hyperlink r:id="rId7" w:history="1">
        <w:r w:rsidRPr="009730AD">
          <w:rPr>
            <w:rStyle w:val="Hyperlnk"/>
            <w:rFonts w:cs="Arial"/>
            <w:sz w:val="18"/>
            <w:szCs w:val="18"/>
            <w:lang w:val="en-GB"/>
          </w:rPr>
          <w:t>The economic analysis of patent litigation data</w:t>
        </w:r>
        <w:r>
          <w:rPr>
            <w:rStyle w:val="Hyperlnk"/>
            <w:rFonts w:cs="Arial"/>
            <w:sz w:val="18"/>
            <w:szCs w:val="18"/>
            <w:lang w:val="en-GB"/>
          </w:rPr>
          <w:t>,</w:t>
        </w:r>
        <w:r w:rsidRPr="009730AD">
          <w:rPr>
            <w:rStyle w:val="Hyperlnk"/>
            <w:rFonts w:cs="Arial"/>
            <w:sz w:val="18"/>
            <w:szCs w:val="18"/>
            <w:lang w:val="en-GB"/>
          </w:rPr>
          <w:t xml:space="preserve"> WIPO Working paper 48, 2018,</w:t>
        </w:r>
        <w:r>
          <w:rPr>
            <w:rStyle w:val="Hyperlnk"/>
            <w:rFonts w:cs="Arial"/>
            <w:sz w:val="18"/>
            <w:szCs w:val="18"/>
            <w:lang w:val="en-GB"/>
          </w:rPr>
          <w:t xml:space="preserve"> </w:t>
        </w:r>
        <w:r w:rsidRPr="009730AD">
          <w:rPr>
            <w:rStyle w:val="Hyperlnk"/>
            <w:rFonts w:cs="Arial"/>
            <w:sz w:val="18"/>
            <w:szCs w:val="18"/>
            <w:lang w:val="en-GB"/>
          </w:rPr>
          <w:t>Christian Helmers</w:t>
        </w:r>
      </w:hyperlink>
      <w:r>
        <w:rPr>
          <w:rStyle w:val="Hyperlnk"/>
          <w:rFonts w:cs="Arial"/>
          <w:sz w:val="18"/>
          <w:szCs w:val="18"/>
          <w:lang w:val="en-GB"/>
        </w:rPr>
        <w:t xml:space="preserve"> </w:t>
      </w:r>
      <w:proofErr w:type="spellStart"/>
      <w:r>
        <w:rPr>
          <w:rStyle w:val="Hyperlnk"/>
          <w:rFonts w:cs="Arial"/>
          <w:color w:val="auto"/>
          <w:sz w:val="18"/>
          <w:szCs w:val="18"/>
          <w:lang w:val="en-GB"/>
        </w:rPr>
        <w:t>s</w:t>
      </w:r>
      <w:r w:rsidRPr="00305C27">
        <w:rPr>
          <w:rStyle w:val="Hyperlnk"/>
          <w:rFonts w:cs="Arial"/>
          <w:color w:val="auto"/>
          <w:sz w:val="18"/>
          <w:szCs w:val="18"/>
          <w:lang w:val="en-GB"/>
        </w:rPr>
        <w:t>id</w:t>
      </w:r>
      <w:proofErr w:type="spellEnd"/>
      <w:r w:rsidRPr="00305C27">
        <w:rPr>
          <w:rStyle w:val="Hyperlnk"/>
          <w:rFonts w:cs="Arial"/>
          <w:color w:val="auto"/>
          <w:sz w:val="18"/>
          <w:szCs w:val="18"/>
          <w:lang w:val="en-GB"/>
        </w:rPr>
        <w:t xml:space="preserve"> 2</w:t>
      </w:r>
    </w:p>
  </w:footnote>
  <w:footnote w:id="17">
    <w:p w:rsidR="00BB36B0" w:rsidRPr="00290EC4" w:rsidRDefault="00BB36B0" w:rsidP="00BB36B0">
      <w:pPr>
        <w:pStyle w:val="Fotnotstext"/>
        <w:rPr>
          <w:lang w:val="en-US"/>
        </w:rPr>
      </w:pPr>
      <w:r>
        <w:rPr>
          <w:rStyle w:val="Fotnotsreferens"/>
        </w:rPr>
        <w:footnoteRef/>
      </w:r>
      <w:r w:rsidRPr="00290EC4">
        <w:rPr>
          <w:lang w:val="en-US"/>
        </w:rPr>
        <w:t xml:space="preserve"> </w:t>
      </w:r>
      <w:hyperlink r:id="rId8" w:history="1">
        <w:r w:rsidRPr="00E452EF">
          <w:rPr>
            <w:rStyle w:val="Hyperlnk"/>
            <w:bCs/>
            <w:sz w:val="18"/>
            <w:szCs w:val="18"/>
            <w:lang w:val="en-GB"/>
          </w:rPr>
          <w:t>Measuring Infringement of Intellectual Property Rights</w:t>
        </w:r>
      </w:hyperlink>
    </w:p>
  </w:footnote>
  <w:footnote w:id="18">
    <w:p w:rsidR="00BB36B0" w:rsidRPr="00290EC4" w:rsidRDefault="00BB36B0" w:rsidP="00BB36B0">
      <w:pPr>
        <w:pStyle w:val="Fotnotstext"/>
        <w:rPr>
          <w:lang w:val="en-US"/>
        </w:rPr>
      </w:pPr>
      <w:r>
        <w:rPr>
          <w:rStyle w:val="Fotnotsreferens"/>
        </w:rPr>
        <w:footnoteRef/>
      </w:r>
      <w:r w:rsidRPr="00290EC4">
        <w:rPr>
          <w:lang w:val="en-US"/>
        </w:rPr>
        <w:t xml:space="preserve"> </w:t>
      </w:r>
      <w:hyperlink r:id="rId9" w:history="1">
        <w:r w:rsidRPr="00E452EF">
          <w:rPr>
            <w:rStyle w:val="Hyperlnk"/>
            <w:rFonts w:eastAsia="Times New Roman"/>
            <w:sz w:val="18"/>
            <w:szCs w:val="18"/>
            <w:lang w:val="en-GB"/>
          </w:rPr>
          <w:t>Patent costs and impact on innovation EU REPORT, 2015</w:t>
        </w:r>
        <w:r>
          <w:rPr>
            <w:rStyle w:val="Hyperlnk"/>
            <w:sz w:val="18"/>
            <w:szCs w:val="18"/>
            <w:lang w:val="en-GB"/>
          </w:rPr>
          <w:t xml:space="preserve"> </w:t>
        </w:r>
      </w:hyperlink>
      <w:r>
        <w:rPr>
          <w:rStyle w:val="Hyperlnk"/>
          <w:sz w:val="18"/>
          <w:szCs w:val="18"/>
          <w:lang w:val="en-GB"/>
        </w:rPr>
        <w:t>Sid 29</w:t>
      </w:r>
    </w:p>
  </w:footnote>
  <w:footnote w:id="19">
    <w:p w:rsidR="00BB36B0" w:rsidRDefault="00BB36B0" w:rsidP="00BB36B0">
      <w:pPr>
        <w:pStyle w:val="Fotnotstext"/>
      </w:pPr>
      <w:r>
        <w:rPr>
          <w:rStyle w:val="Fotnotsreferens"/>
        </w:rPr>
        <w:footnoteRef/>
      </w:r>
      <w:r>
        <w:t xml:space="preserve"> </w:t>
      </w:r>
      <w:r w:rsidRPr="001B11EF">
        <w:rPr>
          <w:sz w:val="18"/>
          <w:szCs w:val="18"/>
        </w:rPr>
        <w:t>Henrik Bellander, Om rättegångskostnader – Om kostnadsbördan i dispositiva tvistemål, Uppsala, 2017</w:t>
      </w:r>
    </w:p>
  </w:footnote>
  <w:footnote w:id="20">
    <w:p w:rsidR="00BB36B0" w:rsidRPr="001B11EF" w:rsidRDefault="00BB36B0" w:rsidP="00BB36B0">
      <w:pPr>
        <w:pStyle w:val="Fotnotstext"/>
        <w:rPr>
          <w:sz w:val="18"/>
          <w:szCs w:val="18"/>
        </w:rPr>
      </w:pPr>
      <w:r>
        <w:rPr>
          <w:rStyle w:val="Fotnotsreferens"/>
        </w:rPr>
        <w:footnoteRef/>
      </w:r>
      <w:r>
        <w:t xml:space="preserve"> </w:t>
      </w:r>
      <w:r>
        <w:rPr>
          <w:sz w:val="18"/>
          <w:szCs w:val="18"/>
        </w:rPr>
        <w:t>Möte med Sveriges förening för immaterialrätt (SFIR) 2019-04-29.</w:t>
      </w:r>
    </w:p>
  </w:footnote>
  <w:footnote w:id="21">
    <w:p w:rsidR="00BB36B0" w:rsidRDefault="00BB36B0" w:rsidP="00BB36B0">
      <w:pPr>
        <w:pStyle w:val="Fotnotstext"/>
      </w:pPr>
      <w:r>
        <w:rPr>
          <w:rStyle w:val="Fotnotsreferens"/>
        </w:rPr>
        <w:footnoteRef/>
      </w:r>
      <w:r w:rsidRPr="005425A1">
        <w:rPr>
          <w:lang w:val="en-US"/>
        </w:rPr>
        <w:t xml:space="preserve"> </w:t>
      </w:r>
      <w:r w:rsidRPr="007643E9">
        <w:rPr>
          <w:sz w:val="18"/>
          <w:szCs w:val="18"/>
          <w:lang w:val="en-GB"/>
        </w:rPr>
        <w:t xml:space="preserve">Swedish Patent Litigation in Comparison to European, Per-Olof </w:t>
      </w:r>
      <w:proofErr w:type="spellStart"/>
      <w:r w:rsidRPr="007643E9">
        <w:rPr>
          <w:sz w:val="18"/>
          <w:szCs w:val="18"/>
          <w:lang w:val="en-GB"/>
        </w:rPr>
        <w:t>Bjuggren</w:t>
      </w:r>
      <w:proofErr w:type="spellEnd"/>
      <w:r w:rsidRPr="007643E9">
        <w:rPr>
          <w:sz w:val="18"/>
          <w:szCs w:val="18"/>
          <w:lang w:val="en-GB"/>
        </w:rPr>
        <w:t xml:space="preserve">, Bengt </w:t>
      </w:r>
      <w:proofErr w:type="spellStart"/>
      <w:r w:rsidRPr="007643E9">
        <w:rPr>
          <w:sz w:val="18"/>
          <w:szCs w:val="18"/>
          <w:lang w:val="en-GB"/>
        </w:rPr>
        <w:t>Domeij</w:t>
      </w:r>
      <w:proofErr w:type="spellEnd"/>
      <w:r w:rsidRPr="007643E9">
        <w:rPr>
          <w:sz w:val="18"/>
          <w:szCs w:val="18"/>
          <w:lang w:val="en-GB"/>
        </w:rPr>
        <w:t>, Anna Horn</w:t>
      </w:r>
      <w:r>
        <w:rPr>
          <w:sz w:val="18"/>
          <w:szCs w:val="18"/>
          <w:lang w:val="en-GB"/>
        </w:rPr>
        <w:t xml:space="preserve">, NIR 2015:5. </w:t>
      </w:r>
      <w:r w:rsidRPr="00B92341">
        <w:rPr>
          <w:sz w:val="18"/>
          <w:szCs w:val="18"/>
        </w:rPr>
        <w:t>Del av studien</w:t>
      </w:r>
      <w:r w:rsidRPr="00AF30FA">
        <w:rPr>
          <w:sz w:val="18"/>
          <w:szCs w:val="18"/>
        </w:rPr>
        <w:t xml:space="preserve"> </w:t>
      </w:r>
      <w:proofErr w:type="spellStart"/>
      <w:r w:rsidRPr="000A41F3">
        <w:rPr>
          <w:sz w:val="18"/>
          <w:szCs w:val="18"/>
        </w:rPr>
        <w:t>Financing</w:t>
      </w:r>
      <w:proofErr w:type="spellEnd"/>
      <w:r w:rsidRPr="002710F9">
        <w:rPr>
          <w:sz w:val="18"/>
          <w:szCs w:val="18"/>
        </w:rPr>
        <w:t xml:space="preserve"> </w:t>
      </w:r>
      <w:r w:rsidRPr="00AF30FA">
        <w:rPr>
          <w:sz w:val="18"/>
          <w:szCs w:val="18"/>
        </w:rPr>
        <w:t>Innovation, Ratio.</w:t>
      </w:r>
    </w:p>
  </w:footnote>
  <w:footnote w:id="22">
    <w:p w:rsidR="00BB36B0" w:rsidRPr="00834ED6" w:rsidRDefault="00BB36B0" w:rsidP="00BB36B0">
      <w:pPr>
        <w:pStyle w:val="Fotnotstext"/>
        <w:rPr>
          <w:sz w:val="20"/>
          <w:szCs w:val="20"/>
        </w:rPr>
      </w:pPr>
      <w:r>
        <w:rPr>
          <w:rStyle w:val="Fotnotsreferens"/>
        </w:rPr>
        <w:footnoteRef/>
      </w:r>
      <w:r>
        <w:t xml:space="preserve"> </w:t>
      </w:r>
      <w:r w:rsidRPr="00834ED6">
        <w:rPr>
          <w:sz w:val="20"/>
          <w:szCs w:val="20"/>
        </w:rPr>
        <w:t>Översikter från 2016-2018 indikera</w:t>
      </w:r>
      <w:r>
        <w:rPr>
          <w:sz w:val="20"/>
          <w:szCs w:val="20"/>
        </w:rPr>
        <w:t>r</w:t>
      </w:r>
      <w:r w:rsidRPr="00834ED6">
        <w:rPr>
          <w:sz w:val="20"/>
          <w:szCs w:val="20"/>
        </w:rPr>
        <w:t xml:space="preserve"> att siffran fördubblats till 14.</w:t>
      </w:r>
    </w:p>
  </w:footnote>
  <w:footnote w:id="23">
    <w:p w:rsidR="00BB36B0" w:rsidRPr="005425A1" w:rsidRDefault="00BB36B0" w:rsidP="00BB36B0">
      <w:pPr>
        <w:pStyle w:val="Default"/>
        <w:rPr>
          <w:lang w:val="en-US"/>
        </w:rPr>
      </w:pPr>
      <w:r>
        <w:rPr>
          <w:rStyle w:val="Fotnotsreferens"/>
        </w:rPr>
        <w:footnoteRef/>
      </w:r>
      <w:r w:rsidRPr="005425A1">
        <w:rPr>
          <w:lang w:val="en-US"/>
        </w:rPr>
        <w:t xml:space="preserve"> </w:t>
      </w:r>
      <w:proofErr w:type="spellStart"/>
      <w:r w:rsidRPr="00D34849">
        <w:rPr>
          <w:rFonts w:ascii="Palatino Linotype" w:hAnsi="Palatino Linotype"/>
          <w:sz w:val="18"/>
          <w:szCs w:val="18"/>
          <w:lang w:val="en-GB"/>
        </w:rPr>
        <w:t>ZEW</w:t>
      </w:r>
      <w:proofErr w:type="spellEnd"/>
      <w:r w:rsidRPr="00D34849">
        <w:rPr>
          <w:rFonts w:ascii="Palatino Linotype" w:hAnsi="Palatino Linotype"/>
          <w:sz w:val="18"/>
          <w:szCs w:val="18"/>
          <w:lang w:val="en-GB"/>
        </w:rPr>
        <w:t>, Discussion Paper No. 13-072</w:t>
      </w:r>
      <w:r>
        <w:rPr>
          <w:rFonts w:ascii="Palatino Linotype" w:hAnsi="Palatino Linotype"/>
          <w:sz w:val="18"/>
          <w:szCs w:val="18"/>
          <w:lang w:val="en-GB"/>
        </w:rPr>
        <w:t xml:space="preserve">, </w:t>
      </w:r>
      <w:r w:rsidRPr="00D34849">
        <w:rPr>
          <w:rFonts w:ascii="Palatino Linotype" w:hAnsi="Palatino Linotype" w:cs="MetaPro-Bold"/>
          <w:bCs/>
          <w:sz w:val="18"/>
          <w:szCs w:val="18"/>
          <w:lang w:val="en-GB"/>
        </w:rPr>
        <w:t>Patent Litigation in Europe</w:t>
      </w:r>
      <w:r>
        <w:rPr>
          <w:rFonts w:ascii="Palatino Linotype" w:hAnsi="Palatino Linotype" w:cs="MetaPro-Bold"/>
          <w:bCs/>
          <w:sz w:val="18"/>
          <w:szCs w:val="18"/>
          <w:lang w:val="en-GB"/>
        </w:rPr>
        <w:t xml:space="preserve">, </w:t>
      </w:r>
      <w:r w:rsidRPr="00D34849">
        <w:rPr>
          <w:rFonts w:ascii="Palatino Linotype" w:hAnsi="Palatino Linotype"/>
          <w:sz w:val="18"/>
          <w:szCs w:val="18"/>
          <w:lang w:val="en-GB"/>
        </w:rPr>
        <w:t xml:space="preserve">Katrin </w:t>
      </w:r>
      <w:proofErr w:type="spellStart"/>
      <w:r w:rsidRPr="00D34849">
        <w:rPr>
          <w:rFonts w:ascii="Palatino Linotype" w:hAnsi="Palatino Linotype"/>
          <w:sz w:val="18"/>
          <w:szCs w:val="18"/>
          <w:lang w:val="en-GB"/>
        </w:rPr>
        <w:t>Cremers</w:t>
      </w:r>
      <w:proofErr w:type="spellEnd"/>
      <w:r>
        <w:rPr>
          <w:rFonts w:ascii="Palatino Linotype" w:hAnsi="Palatino Linotype"/>
          <w:sz w:val="18"/>
          <w:szCs w:val="18"/>
          <w:lang w:val="en-GB"/>
        </w:rPr>
        <w:t xml:space="preserve"> et. al</w:t>
      </w:r>
      <w:r w:rsidRPr="00D34849">
        <w:rPr>
          <w:rFonts w:ascii="Palatino Linotype" w:hAnsi="Palatino Linotype"/>
          <w:sz w:val="18"/>
          <w:szCs w:val="18"/>
          <w:lang w:val="en-GB"/>
        </w:rPr>
        <w:t>,</w:t>
      </w:r>
    </w:p>
  </w:footnote>
  <w:footnote w:id="24">
    <w:p w:rsidR="00BB36B0" w:rsidRDefault="00BB36B0" w:rsidP="00BB36B0">
      <w:pPr>
        <w:pStyle w:val="Fotnotstext"/>
      </w:pPr>
      <w:r>
        <w:rPr>
          <w:rStyle w:val="Fotnotsreferens"/>
        </w:rPr>
        <w:footnoteRef/>
      </w:r>
      <w:r w:rsidRPr="003A2318">
        <w:rPr>
          <w:lang w:val="en-US"/>
        </w:rPr>
        <w:t xml:space="preserve"> </w:t>
      </w:r>
      <w:r w:rsidRPr="007643E9">
        <w:rPr>
          <w:sz w:val="18"/>
          <w:szCs w:val="18"/>
          <w:lang w:val="en-GB"/>
        </w:rPr>
        <w:t xml:space="preserve">Swedish Patent Litigation in Comparison to European, Per-Olof </w:t>
      </w:r>
      <w:proofErr w:type="spellStart"/>
      <w:r w:rsidRPr="007643E9">
        <w:rPr>
          <w:sz w:val="18"/>
          <w:szCs w:val="18"/>
          <w:lang w:val="en-GB"/>
        </w:rPr>
        <w:t>Bjuggren</w:t>
      </w:r>
      <w:proofErr w:type="spellEnd"/>
      <w:r w:rsidRPr="007643E9">
        <w:rPr>
          <w:sz w:val="18"/>
          <w:szCs w:val="18"/>
          <w:lang w:val="en-GB"/>
        </w:rPr>
        <w:t xml:space="preserve">, Bengt </w:t>
      </w:r>
      <w:proofErr w:type="spellStart"/>
      <w:r w:rsidRPr="007643E9">
        <w:rPr>
          <w:sz w:val="18"/>
          <w:szCs w:val="18"/>
          <w:lang w:val="en-GB"/>
        </w:rPr>
        <w:t>Domeij</w:t>
      </w:r>
      <w:proofErr w:type="spellEnd"/>
      <w:r w:rsidRPr="007643E9">
        <w:rPr>
          <w:sz w:val="18"/>
          <w:szCs w:val="18"/>
          <w:lang w:val="en-GB"/>
        </w:rPr>
        <w:t>, Anna Horn</w:t>
      </w:r>
      <w:r>
        <w:rPr>
          <w:sz w:val="18"/>
          <w:szCs w:val="18"/>
          <w:lang w:val="en-GB"/>
        </w:rPr>
        <w:t xml:space="preserve">, NIR 2015:5. </w:t>
      </w:r>
      <w:r w:rsidRPr="00B92341">
        <w:rPr>
          <w:sz w:val="18"/>
          <w:szCs w:val="18"/>
        </w:rPr>
        <w:t>Del av studien</w:t>
      </w:r>
      <w:r w:rsidRPr="00AF30FA">
        <w:rPr>
          <w:sz w:val="18"/>
          <w:szCs w:val="18"/>
        </w:rPr>
        <w:t xml:space="preserve"> </w:t>
      </w:r>
      <w:proofErr w:type="spellStart"/>
      <w:r w:rsidRPr="000A41F3">
        <w:rPr>
          <w:sz w:val="18"/>
          <w:szCs w:val="18"/>
        </w:rPr>
        <w:t>Financing</w:t>
      </w:r>
      <w:proofErr w:type="spellEnd"/>
      <w:r w:rsidRPr="002710F9">
        <w:rPr>
          <w:sz w:val="18"/>
          <w:szCs w:val="18"/>
        </w:rPr>
        <w:t xml:space="preserve"> </w:t>
      </w:r>
      <w:r w:rsidRPr="00AF30FA">
        <w:rPr>
          <w:sz w:val="18"/>
          <w:szCs w:val="18"/>
        </w:rPr>
        <w:t>Innovation, Ratio.</w:t>
      </w:r>
    </w:p>
  </w:footnote>
  <w:footnote w:id="25">
    <w:p w:rsidR="00BB36B0" w:rsidRPr="003A2318" w:rsidRDefault="00BB36B0" w:rsidP="00BB36B0">
      <w:pPr>
        <w:pStyle w:val="Fotnotstext"/>
        <w:rPr>
          <w:sz w:val="18"/>
          <w:szCs w:val="18"/>
        </w:rPr>
      </w:pPr>
      <w:r>
        <w:rPr>
          <w:rStyle w:val="Fotnotsreferens"/>
        </w:rPr>
        <w:footnoteRef/>
      </w:r>
      <w:r>
        <w:t xml:space="preserve"> </w:t>
      </w:r>
      <w:r w:rsidRPr="003A2318">
        <w:rPr>
          <w:sz w:val="18"/>
          <w:szCs w:val="18"/>
        </w:rPr>
        <w:t>För få mål går till rättegång – problem för små företag och uppfinnare, Peter</w:t>
      </w:r>
      <w:r>
        <w:rPr>
          <w:sz w:val="18"/>
          <w:szCs w:val="18"/>
        </w:rPr>
        <w:t xml:space="preserve"> </w:t>
      </w:r>
      <w:r w:rsidRPr="003A2318">
        <w:rPr>
          <w:sz w:val="18"/>
          <w:szCs w:val="18"/>
        </w:rPr>
        <w:t>A Jörgensen, PatentEye 2018:6</w:t>
      </w:r>
    </w:p>
  </w:footnote>
  <w:footnote w:id="26">
    <w:p w:rsidR="00BB36B0" w:rsidRPr="003A2318" w:rsidRDefault="00BB36B0" w:rsidP="00BB36B0">
      <w:pPr>
        <w:pStyle w:val="Fotnotstext"/>
        <w:rPr>
          <w:sz w:val="18"/>
          <w:szCs w:val="18"/>
        </w:rPr>
      </w:pPr>
      <w:r>
        <w:rPr>
          <w:rStyle w:val="Fotnotsreferens"/>
        </w:rPr>
        <w:footnoteRef/>
      </w:r>
      <w:r>
        <w:t xml:space="preserve"> </w:t>
      </w:r>
      <w:r w:rsidRPr="003A2318">
        <w:rPr>
          <w:sz w:val="18"/>
          <w:szCs w:val="18"/>
        </w:rPr>
        <w:t>Siffran för Tyskland gäller enbart intrång och inte ogiltighet, så i strikt mening är jämförelsen icke korrekt</w:t>
      </w:r>
    </w:p>
  </w:footnote>
  <w:footnote w:id="27">
    <w:p w:rsidR="00BB36B0" w:rsidRPr="00050544" w:rsidRDefault="00BB36B0" w:rsidP="00BB36B0">
      <w:pPr>
        <w:pStyle w:val="Fotnotstext"/>
        <w:rPr>
          <w:sz w:val="18"/>
          <w:szCs w:val="18"/>
        </w:rPr>
      </w:pPr>
      <w:r w:rsidRPr="00050544">
        <w:rPr>
          <w:rStyle w:val="Fotnotsreferens"/>
          <w:sz w:val="18"/>
          <w:szCs w:val="18"/>
        </w:rPr>
        <w:footnoteRef/>
      </w:r>
      <w:r>
        <w:rPr>
          <w:sz w:val="18"/>
          <w:szCs w:val="18"/>
        </w:rPr>
        <w:t xml:space="preserve"> Christer Löfgren</w:t>
      </w:r>
      <w:r w:rsidRPr="00050544">
        <w:rPr>
          <w:sz w:val="18"/>
          <w:szCs w:val="18"/>
        </w:rPr>
        <w:t>, PatentEye presentation 2019-04-29 vid SFIR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8C0BBB"/>
    <w:multiLevelType w:val="multilevel"/>
    <w:tmpl w:val="75469A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proofState w:spelling="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6B0"/>
    <w:rsid w:val="002B1C6E"/>
    <w:rsid w:val="00485CEE"/>
    <w:rsid w:val="00BB36B0"/>
    <w:rsid w:val="00CE5A1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4:docId w14:val="00FD9875"/>
  <w15:chartTrackingRefBased/>
  <w15:docId w15:val="{C4FB3A3E-08C5-7742-9A86-CD5421AE7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6B0"/>
    <w:rPr>
      <w:rFonts w:ascii="Palatino Linotype" w:eastAsiaTheme="minorEastAsia" w:hAnsi="Palatino Linotype"/>
      <w:sz w:val="22"/>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Fotnotstext">
    <w:name w:val="footnote text"/>
    <w:basedOn w:val="Normal"/>
    <w:link w:val="FotnotstextChar"/>
    <w:uiPriority w:val="99"/>
    <w:unhideWhenUsed/>
    <w:rsid w:val="00BB36B0"/>
    <w:rPr>
      <w:sz w:val="24"/>
    </w:rPr>
  </w:style>
  <w:style w:type="character" w:customStyle="1" w:styleId="FotnotstextChar">
    <w:name w:val="Fotnotstext Char"/>
    <w:basedOn w:val="Standardstycketeckensnitt"/>
    <w:link w:val="Fotnotstext"/>
    <w:uiPriority w:val="99"/>
    <w:rsid w:val="00BB36B0"/>
    <w:rPr>
      <w:rFonts w:ascii="Palatino Linotype" w:eastAsiaTheme="minorEastAsia" w:hAnsi="Palatino Linotype"/>
      <w:lang w:eastAsia="sv-SE"/>
    </w:rPr>
  </w:style>
  <w:style w:type="character" w:styleId="Fotnotsreferens">
    <w:name w:val="footnote reference"/>
    <w:basedOn w:val="Standardstycketeckensnitt"/>
    <w:uiPriority w:val="99"/>
    <w:unhideWhenUsed/>
    <w:rsid w:val="00BB36B0"/>
    <w:rPr>
      <w:vertAlign w:val="superscript"/>
    </w:rPr>
  </w:style>
  <w:style w:type="character" w:styleId="Hyperlnk">
    <w:name w:val="Hyperlink"/>
    <w:basedOn w:val="Standardstycketeckensnitt"/>
    <w:uiPriority w:val="99"/>
    <w:unhideWhenUsed/>
    <w:rsid w:val="00BB36B0"/>
    <w:rPr>
      <w:color w:val="0000FF"/>
      <w:u w:val="single"/>
    </w:rPr>
  </w:style>
  <w:style w:type="paragraph" w:styleId="Normalwebb">
    <w:name w:val="Normal (Web)"/>
    <w:basedOn w:val="Normal"/>
    <w:uiPriority w:val="99"/>
    <w:unhideWhenUsed/>
    <w:rsid w:val="00BB36B0"/>
    <w:pPr>
      <w:spacing w:before="100" w:beforeAutospacing="1" w:after="100" w:afterAutospacing="1"/>
    </w:pPr>
    <w:rPr>
      <w:rFonts w:ascii="Times New Roman" w:hAnsi="Times New Roman" w:cs="Times New Roman"/>
      <w:sz w:val="20"/>
      <w:szCs w:val="20"/>
    </w:rPr>
  </w:style>
  <w:style w:type="table" w:styleId="Tabellrutnt">
    <w:name w:val="Table Grid"/>
    <w:basedOn w:val="Normaltabell"/>
    <w:uiPriority w:val="59"/>
    <w:rsid w:val="00BB36B0"/>
    <w:rPr>
      <w:rFonts w:eastAsiaTheme="minorEastAsia"/>
      <w:lang w:eastAsia="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fot">
    <w:name w:val="footer"/>
    <w:basedOn w:val="Normal"/>
    <w:link w:val="SidfotChar"/>
    <w:uiPriority w:val="99"/>
    <w:unhideWhenUsed/>
    <w:rsid w:val="00BB36B0"/>
    <w:pPr>
      <w:tabs>
        <w:tab w:val="center" w:pos="4536"/>
        <w:tab w:val="right" w:pos="9072"/>
      </w:tabs>
    </w:pPr>
  </w:style>
  <w:style w:type="character" w:customStyle="1" w:styleId="SidfotChar">
    <w:name w:val="Sidfot Char"/>
    <w:basedOn w:val="Standardstycketeckensnitt"/>
    <w:link w:val="Sidfot"/>
    <w:uiPriority w:val="99"/>
    <w:rsid w:val="00BB36B0"/>
    <w:rPr>
      <w:rFonts w:ascii="Palatino Linotype" w:eastAsiaTheme="minorEastAsia" w:hAnsi="Palatino Linotype"/>
      <w:sz w:val="22"/>
      <w:lang w:eastAsia="sv-SE"/>
    </w:rPr>
  </w:style>
  <w:style w:type="character" w:styleId="Sidnummer">
    <w:name w:val="page number"/>
    <w:basedOn w:val="Standardstycketeckensnitt"/>
    <w:uiPriority w:val="99"/>
    <w:semiHidden/>
    <w:unhideWhenUsed/>
    <w:rsid w:val="00BB36B0"/>
  </w:style>
  <w:style w:type="paragraph" w:customStyle="1" w:styleId="Default">
    <w:name w:val="Default"/>
    <w:rsid w:val="00BB36B0"/>
    <w:pPr>
      <w:widowControl w:val="0"/>
      <w:autoSpaceDE w:val="0"/>
      <w:autoSpaceDN w:val="0"/>
      <w:adjustRightInd w:val="0"/>
    </w:pPr>
    <w:rPr>
      <w:rFonts w:ascii="MetaPro-Normal" w:eastAsiaTheme="minorEastAsia" w:hAnsi="MetaPro-Normal" w:cs="MetaPro-Normal"/>
      <w:color w:val="000000"/>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ter.jorgensen@innovationeurope.s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u.registrator@regeringskansliet.s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kjell.jegefors@telia.com"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325020/IP_Measuring_Infringement.pdf" TargetMode="External"/><Relationship Id="rId3" Type="http://schemas.openxmlformats.org/officeDocument/2006/relationships/hyperlink" Target="https://euipo.europa.eu/tunnel-web/secure/webdav/guest/document_library/observatory/docs/2019_Status_Report_on_IPR_infringement/2019_Status_Report_on_IPR_infringement_en.pdf" TargetMode="External"/><Relationship Id="rId7" Type="http://schemas.openxmlformats.org/officeDocument/2006/relationships/hyperlink" Target="https://www.wipo.int/edocs/pubdocs/en/wipo_pub_econstat_wp_48.pdf" TargetMode="External"/><Relationship Id="rId2" Type="http://schemas.openxmlformats.org/officeDocument/2006/relationships/hyperlink" Target="https://iprhelpdesk.eu/china-helpdesk" TargetMode="External"/><Relationship Id="rId1" Type="http://schemas.openxmlformats.org/officeDocument/2006/relationships/hyperlink" Target="https://euipo.europa.eu/ohimportal/sv/web/observatory/ip-enforcement-portal-home-page" TargetMode="External"/><Relationship Id="rId6" Type="http://schemas.openxmlformats.org/officeDocument/2006/relationships/hyperlink" Target="http://documents.epo.org/projects/babylon/eponet.nsf/0/F59459A1E64B62F3C12583FC002FBD93/$FILE/high_growth_firms_study_en.pdf" TargetMode="External"/><Relationship Id="rId5" Type="http://schemas.openxmlformats.org/officeDocument/2006/relationships/hyperlink" Target="https://www.oecd.org/mcm/documents/C-MIN-2017-8-EN.pdf" TargetMode="External"/><Relationship Id="rId4" Type="http://schemas.openxmlformats.org/officeDocument/2006/relationships/hyperlink" Target="http://www.oecd.org/gov/risk/counterfeiting-and-piracy-and-the-swedish-economy-highlights-brochure-2019.pdf" TargetMode="External"/><Relationship Id="rId9" Type="http://schemas.openxmlformats.org/officeDocument/2006/relationships/hyperlink" Target="http://ec.europa.eu/research/innovation-union/pdf/patent_cost_impact_2015.pdf"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4020</Words>
  <Characters>21309</Characters>
  <Application>Microsoft Office Word</Application>
  <DocSecurity>0</DocSecurity>
  <Lines>177</Lines>
  <Paragraphs>50</Paragraphs>
  <ScaleCrop>false</ScaleCrop>
  <Company/>
  <LinksUpToDate>false</LinksUpToDate>
  <CharactersWithSpaces>25279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Jörgensen</dc:creator>
  <cp:keywords/>
  <dc:description/>
  <cp:lastModifiedBy>Peter Jörgensen</cp:lastModifiedBy>
  <cp:revision>1</cp:revision>
  <dcterms:created xsi:type="dcterms:W3CDTF">2019-10-29T11:07:00Z</dcterms:created>
  <dcterms:modified xsi:type="dcterms:W3CDTF">2019-10-29T11:08:00Z</dcterms:modified>
</cp:coreProperties>
</file>